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pBdr/>
        <w:spacing w:line="276" w:lineRule="auto"/>
        <w:contextualSpacing w:val="0"/>
        <w:jc w:val="both"/>
        <w:rPr>
          <w:rFonts w:ascii="Times New Roman" w:cs="Times New Roman" w:eastAsia="Times New Roman" w:hAnsi="Times New Roman"/>
          <w:sz w:val="48"/>
          <w:szCs w:val="48"/>
        </w:rPr>
      </w:pPr>
      <w:bookmarkStart w:colFirst="0" w:colLast="0" w:name="_7nxmlxhutz8z" w:id="0"/>
      <w:bookmarkEnd w:id="0"/>
      <w:r w:rsidDel="00000000" w:rsidR="00000000" w:rsidRPr="00000000">
        <w:rPr>
          <w:rFonts w:ascii="Times New Roman" w:cs="Times New Roman" w:eastAsia="Times New Roman" w:hAnsi="Times New Roman"/>
          <w:sz w:val="48"/>
          <w:szCs w:val="48"/>
          <w:rtl w:val="0"/>
        </w:rPr>
        <w:t xml:space="preserve">Voxel-based analysis of Alzheimer’s Disease and Mild Cognitive Impairment using </w:t>
      </w:r>
      <w:r w:rsidDel="00000000" w:rsidR="00000000" w:rsidRPr="00000000">
        <w:rPr>
          <w:rFonts w:ascii="Times New Roman" w:cs="Times New Roman" w:eastAsia="Times New Roman" w:hAnsi="Times New Roman"/>
          <w:sz w:val="48"/>
          <w:szCs w:val="48"/>
          <w:vertAlign w:val="superscript"/>
          <w:rtl w:val="0"/>
        </w:rPr>
        <w:t xml:space="preserve">18</w:t>
      </w:r>
      <w:r w:rsidDel="00000000" w:rsidR="00000000" w:rsidRPr="00000000">
        <w:rPr>
          <w:rFonts w:ascii="Times New Roman" w:cs="Times New Roman" w:eastAsia="Times New Roman" w:hAnsi="Times New Roman"/>
          <w:sz w:val="48"/>
          <w:szCs w:val="48"/>
          <w:rtl w:val="0"/>
        </w:rPr>
        <w:t xml:space="preserve">F-FDG- and </w:t>
      </w:r>
      <w:r w:rsidDel="00000000" w:rsidR="00000000" w:rsidRPr="00000000">
        <w:rPr>
          <w:rFonts w:ascii="Times New Roman" w:cs="Times New Roman" w:eastAsia="Times New Roman" w:hAnsi="Times New Roman"/>
          <w:sz w:val="48"/>
          <w:szCs w:val="48"/>
          <w:vertAlign w:val="superscript"/>
          <w:rtl w:val="0"/>
        </w:rPr>
        <w:t xml:space="preserve">11</w:t>
      </w:r>
      <w:r w:rsidDel="00000000" w:rsidR="00000000" w:rsidRPr="00000000">
        <w:rPr>
          <w:rFonts w:ascii="Times New Roman" w:cs="Times New Roman" w:eastAsia="Times New Roman" w:hAnsi="Times New Roman"/>
          <w:sz w:val="48"/>
          <w:szCs w:val="48"/>
          <w:rtl w:val="0"/>
        </w:rPr>
        <w:t xml:space="preserve">C-PiB PET</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of Groningen</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Faculty of University College Groningen</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Major Health and Life Sciences</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Theodora van Elk</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number: S2793857</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w:t>
      </w:r>
      <w:hyperlink r:id="rId5">
        <w:r w:rsidDel="00000000" w:rsidR="00000000" w:rsidRPr="00000000">
          <w:rPr>
            <w:rFonts w:ascii="Times New Roman" w:cs="Times New Roman" w:eastAsia="Times New Roman" w:hAnsi="Times New Roman"/>
            <w:color w:val="1155cc"/>
            <w:u w:val="single"/>
            <w:rtl w:val="0"/>
          </w:rPr>
          <w:t xml:space="preserve">t.van.elk@student.rug.nl</w:t>
        </w:r>
      </w:hyperlink>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Supervisor: </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Drs. F.E. Reesink (Neurology, UMCG)</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Co-supervisors: </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 Dr. R. Boellaard</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 Dr. P. P. De Deyn</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D. Vállez García</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UCG supervisor:</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E.C. de Haas</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3"/>
        <w:widowControl w:val="0"/>
        <w:pBdr/>
        <w:spacing w:line="276" w:lineRule="auto"/>
        <w:contextualSpacing w:val="0"/>
        <w:jc w:val="both"/>
        <w:rPr>
          <w:rFonts w:ascii="Times New Roman" w:cs="Times New Roman" w:eastAsia="Times New Roman" w:hAnsi="Times New Roman"/>
          <w:b w:val="1"/>
        </w:rPr>
      </w:pPr>
      <w:bookmarkStart w:colFirst="0" w:colLast="0" w:name="_1fob9te" w:id="1"/>
      <w:bookmarkEnd w:id="1"/>
      <w:r w:rsidDel="00000000" w:rsidR="00000000" w:rsidRPr="00000000">
        <w:rPr>
          <w:rFonts w:ascii="Times New Roman" w:cs="Times New Roman" w:eastAsia="Times New Roman" w:hAnsi="Times New Roman"/>
          <w:rtl w:val="0"/>
        </w:rPr>
        <w:t xml:space="preserve">Introduction</w:t>
      </w:r>
      <w:r w:rsidDel="00000000" w:rsidR="00000000" w:rsidRPr="00000000">
        <w:rPr>
          <w:rtl w:val="0"/>
        </w:rPr>
      </w:r>
    </w:p>
    <w:p w:rsidR="00000000" w:rsidDel="00000000" w:rsidP="00000000" w:rsidRDefault="00000000" w:rsidRPr="00000000">
      <w:pPr>
        <w:widowControl w:val="0"/>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elderly population increases and worldwide prevalence of dementia is expected to expand nearly triple to approximately 132 million by 2050 </w:t>
      </w:r>
      <w:hyperlink r:id="rId6">
        <w:r w:rsidDel="00000000" w:rsidR="00000000" w:rsidRPr="00000000">
          <w:rPr>
            <w:rFonts w:ascii="Times New Roman" w:cs="Times New Roman" w:eastAsia="Times New Roman" w:hAnsi="Times New Roman"/>
            <w:b w:val="0"/>
            <w:color w:val="000000"/>
            <w:u w:val="none"/>
            <w:rtl w:val="0"/>
          </w:rPr>
          <w:t xml:space="preserve">(1)</w:t>
        </w:r>
      </w:hyperlink>
      <w:r w:rsidDel="00000000" w:rsidR="00000000" w:rsidRPr="00000000">
        <w:rPr>
          <w:rFonts w:ascii="Times New Roman" w:cs="Times New Roman" w:eastAsia="Times New Roman" w:hAnsi="Times New Roman"/>
          <w:rtl w:val="0"/>
        </w:rPr>
        <w:t xml:space="preserve"> with 9.9 million new patients each year. It may already be among the most costly diseases for society, worldwide, with the current estimate from the World Alzheimer Report being US $818 billion </w:t>
      </w:r>
      <w:hyperlink r:id="rId7">
        <w:r w:rsidDel="00000000" w:rsidR="00000000" w:rsidRPr="00000000">
          <w:rPr>
            <w:rFonts w:ascii="Times New Roman" w:cs="Times New Roman" w:eastAsia="Times New Roman" w:hAnsi="Times New Roman"/>
            <w:b w:val="0"/>
            <w:color w:val="000000"/>
            <w:u w:val="none"/>
            <w:rtl w:val="0"/>
          </w:rPr>
          <w:t xml:space="preserve">(1)</w:t>
        </w:r>
      </w:hyperlink>
      <w:r w:rsidDel="00000000" w:rsidR="00000000" w:rsidRPr="00000000">
        <w:rPr>
          <w:rFonts w:ascii="Times New Roman" w:cs="Times New Roman" w:eastAsia="Times New Roman" w:hAnsi="Times New Roman"/>
          <w:rtl w:val="0"/>
        </w:rPr>
        <w:t xml:space="preserve"> an this is expected to increase in the coming years. </w:t>
      </w:r>
      <w:r w:rsidDel="00000000" w:rsidR="00000000" w:rsidRPr="00000000">
        <w:rPr>
          <w:rFonts w:ascii="Times New Roman" w:cs="Times New Roman" w:eastAsia="Times New Roman" w:hAnsi="Times New Roman"/>
          <w:rtl w:val="0"/>
        </w:rPr>
        <w:t xml:space="preserve">Dementia is a broad term for brain diseases that cause a progressive and often gradual decrease in cognitive functioning </w:t>
      </w:r>
      <w:hyperlink r:id="rId8">
        <w:r w:rsidDel="00000000" w:rsidR="00000000" w:rsidRPr="00000000">
          <w:rPr>
            <w:rFonts w:ascii="Times New Roman" w:cs="Times New Roman" w:eastAsia="Times New Roman" w:hAnsi="Times New Roman"/>
            <w:b w:val="0"/>
            <w:color w:val="000000"/>
            <w:u w:val="none"/>
            <w:rtl w:val="0"/>
          </w:rPr>
          <w:t xml:space="preserve">(2)</w:t>
        </w:r>
      </w:hyperlink>
      <w:r w:rsidDel="00000000" w:rsidR="00000000" w:rsidRPr="00000000">
        <w:rPr>
          <w:rFonts w:ascii="Times New Roman" w:cs="Times New Roman" w:eastAsia="Times New Roman" w:hAnsi="Times New Roman"/>
          <w:rtl w:val="0"/>
        </w:rPr>
        <w:t xml:space="preserve">. Cognitive decline is greater than one would expect from the </w:t>
      </w:r>
      <w:r w:rsidDel="00000000" w:rsidR="00000000" w:rsidRPr="00000000">
        <w:rPr>
          <w:rFonts w:ascii="Times New Roman" w:cs="Times New Roman" w:eastAsia="Times New Roman" w:hAnsi="Times New Roman"/>
          <w:rtl w:val="0"/>
        </w:rPr>
        <w:t xml:space="preserve">normal </w:t>
      </w:r>
      <w:r w:rsidDel="00000000" w:rsidR="00000000" w:rsidRPr="00000000">
        <w:rPr>
          <w:rFonts w:ascii="Times New Roman" w:cs="Times New Roman" w:eastAsia="Times New Roman" w:hAnsi="Times New Roman"/>
          <w:rtl w:val="0"/>
        </w:rPr>
        <w:t xml:space="preserve">effect of aging. The most common form of dementia is Alzheimer’s disease (AD), which makes up 50% to 70% of cases. AD</w:t>
      </w:r>
      <w:r w:rsidDel="00000000" w:rsidR="00000000" w:rsidRPr="00000000">
        <w:rPr>
          <w:rFonts w:ascii="Times New Roman" w:cs="Times New Roman" w:eastAsia="Times New Roman" w:hAnsi="Times New Roman"/>
          <w:rtl w:val="0"/>
        </w:rPr>
        <w:t xml:space="preserve"> affects </w:t>
      </w:r>
      <w:r w:rsidDel="00000000" w:rsidR="00000000" w:rsidRPr="00000000">
        <w:rPr>
          <w:rFonts w:ascii="Times New Roman" w:cs="Times New Roman" w:eastAsia="Times New Roman" w:hAnsi="Times New Roman"/>
          <w:rtl w:val="0"/>
        </w:rPr>
        <w:t xml:space="preserve">approximately </w:t>
      </w:r>
      <w:r w:rsidDel="00000000" w:rsidR="00000000" w:rsidRPr="00000000">
        <w:rPr>
          <w:rFonts w:ascii="Times New Roman" w:cs="Times New Roman" w:eastAsia="Times New Roman" w:hAnsi="Times New Roman"/>
          <w:rtl w:val="0"/>
        </w:rPr>
        <w:t xml:space="preserve">35 million individuals </w:t>
      </w:r>
      <w:r w:rsidDel="00000000" w:rsidR="00000000" w:rsidRPr="00000000">
        <w:rPr>
          <w:rFonts w:ascii="Times New Roman" w:cs="Times New Roman" w:eastAsia="Times New Roman" w:hAnsi="Times New Roman"/>
          <w:rtl w:val="0"/>
        </w:rPr>
        <w:t xml:space="preserve">worldwide. </w:t>
      </w:r>
    </w:p>
    <w:p w:rsidR="00000000" w:rsidDel="00000000" w:rsidP="00000000" w:rsidRDefault="00000000" w:rsidRPr="00000000">
      <w:pPr>
        <w:widowControl w:val="0"/>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Alzheimer’s Disease is a progressive neurodegenerative disorder that is characterized by</w:t>
      </w:r>
      <w:r w:rsidDel="00000000" w:rsidR="00000000" w:rsidRPr="00000000">
        <w:rPr>
          <w:rFonts w:ascii="Times New Roman" w:cs="Times New Roman" w:eastAsia="Times New Roman" w:hAnsi="Times New Roman"/>
          <w:rtl w:val="0"/>
        </w:rPr>
        <w:t xml:space="preserve"> the</w:t>
      </w:r>
      <w:r w:rsidDel="00000000" w:rsidR="00000000" w:rsidRPr="00000000">
        <w:rPr>
          <w:rFonts w:ascii="Times New Roman" w:cs="Times New Roman" w:eastAsia="Times New Roman" w:hAnsi="Times New Roman"/>
          <w:rtl w:val="0"/>
        </w:rPr>
        <w:t xml:space="preserve"> accumulation of extracellular amyloid plaques and intracellular neurofibrillary tangles </w:t>
      </w:r>
      <w:hyperlink r:id="rId9">
        <w:r w:rsidDel="00000000" w:rsidR="00000000" w:rsidRPr="00000000">
          <w:rPr>
            <w:rFonts w:ascii="Times New Roman" w:cs="Times New Roman" w:eastAsia="Times New Roman" w:hAnsi="Times New Roman"/>
            <w:b w:val="0"/>
            <w:color w:val="000000"/>
            <w:u w:val="none"/>
            <w:rtl w:val="0"/>
          </w:rPr>
          <w:t xml:space="preserve">(3)</w:t>
        </w:r>
      </w:hyperlink>
      <w:r w:rsidDel="00000000" w:rsidR="00000000" w:rsidRPr="00000000">
        <w:rPr>
          <w:rFonts w:ascii="Times New Roman" w:cs="Times New Roman" w:eastAsia="Times New Roman" w:hAnsi="Times New Roman"/>
          <w:rtl w:val="0"/>
        </w:rPr>
        <w:t xml:space="preserve">. The amyloid hypothesis points to the accumulation of amyloid-beta peptides either by overproduction or reduced clearance of the amyloid beta peptide as the central event triggering neuron degeneration </w:t>
      </w:r>
      <w:hyperlink r:id="rId10">
        <w:r w:rsidDel="00000000" w:rsidR="00000000" w:rsidRPr="00000000">
          <w:rPr>
            <w:rFonts w:ascii="Times New Roman" w:cs="Times New Roman" w:eastAsia="Times New Roman" w:hAnsi="Times New Roman"/>
            <w:b w:val="0"/>
            <w:color w:val="000000"/>
            <w:u w:val="none"/>
            <w:rtl w:val="0"/>
          </w:rPr>
          <w:t xml:space="preserve">(4)</w:t>
        </w:r>
      </w:hyperlink>
      <w:r w:rsidDel="00000000" w:rsidR="00000000" w:rsidRPr="00000000">
        <w:rPr>
          <w:rFonts w:ascii="Times New Roman" w:cs="Times New Roman" w:eastAsia="Times New Roman" w:hAnsi="Times New Roman"/>
          <w:rtl w:val="0"/>
        </w:rPr>
        <w:t xml:space="preserve">. These amyloid-beta peptides are produced by what is called the amyloidogenic pathway in which the transmembrane protein amyloid precursor protein (APP) is cleaved by secretase beta and secretase gamma into hydrophobic amyloid-beta peptides. </w:t>
      </w:r>
      <w:r w:rsidDel="00000000" w:rsidR="00000000" w:rsidRPr="00000000">
        <w:rPr>
          <w:rFonts w:ascii="Times New Roman" w:cs="Times New Roman" w:eastAsia="Times New Roman" w:hAnsi="Times New Roman"/>
          <w:rtl w:val="0"/>
        </w:rPr>
        <w:t xml:space="preserve">These peptides in turn aggregate due to their hydrophobic nature and are thus present in the cerebrospinal fluid (CSF) in decreased amounts as they are sequestered in plaques</w:t>
      </w:r>
      <w:r w:rsidDel="00000000" w:rsidR="00000000" w:rsidRPr="00000000">
        <w:rPr>
          <w:rFonts w:ascii="Times New Roman" w:cs="Times New Roman" w:eastAsia="Times New Roman" w:hAnsi="Times New Roman"/>
          <w:rtl w:val="0"/>
        </w:rPr>
        <w:t xml:space="preserve"> </w:t>
      </w:r>
      <w:hyperlink r:id="rId11">
        <w:r w:rsidDel="00000000" w:rsidR="00000000" w:rsidRPr="00000000">
          <w:rPr>
            <w:rFonts w:ascii="Times New Roman" w:cs="Times New Roman" w:eastAsia="Times New Roman" w:hAnsi="Times New Roman"/>
            <w:b w:val="0"/>
            <w:color w:val="000000"/>
            <w:u w:val="none"/>
            <w:rtl w:val="0"/>
          </w:rPr>
          <w:t xml:space="preserve">(5)</w:t>
        </w:r>
      </w:hyperlink>
      <w:r w:rsidDel="00000000" w:rsidR="00000000" w:rsidRPr="00000000">
        <w:rPr>
          <w:rFonts w:ascii="Times New Roman" w:cs="Times New Roman" w:eastAsia="Times New Roman" w:hAnsi="Times New Roman"/>
          <w:rtl w:val="0"/>
        </w:rPr>
        <w:t xml:space="preserve">. It is assumed that the aggregation of these amyloid-beta peptides induces synaptic dysfunction and synaptic loss. Consequently, this leads to the inhibition of certain enzymes and a decrease in the utili</w:t>
      </w:r>
      <w:r w:rsidDel="00000000" w:rsidR="00000000" w:rsidRPr="00000000">
        <w:rPr>
          <w:rFonts w:ascii="Times New Roman" w:cs="Times New Roman" w:eastAsia="Times New Roman" w:hAnsi="Times New Roman"/>
          <w:rtl w:val="0"/>
        </w:rPr>
        <w:t xml:space="preserve">z</w:t>
      </w:r>
      <w:r w:rsidDel="00000000" w:rsidR="00000000" w:rsidRPr="00000000">
        <w:rPr>
          <w:rFonts w:ascii="Times New Roman" w:cs="Times New Roman" w:eastAsia="Times New Roman" w:hAnsi="Times New Roman"/>
          <w:rtl w:val="0"/>
        </w:rPr>
        <w:t xml:space="preserve">ation of glucose, causing neuronal cell death and cognitive decline </w:t>
      </w:r>
      <w:hyperlink r:id="rId12">
        <w:r w:rsidDel="00000000" w:rsidR="00000000" w:rsidRPr="00000000">
          <w:rPr>
            <w:rFonts w:ascii="Times New Roman" w:cs="Times New Roman" w:eastAsia="Times New Roman" w:hAnsi="Times New Roman"/>
            <w:b w:val="0"/>
            <w:color w:val="000000"/>
            <w:u w:val="none"/>
            <w:rtl w:val="0"/>
          </w:rPr>
          <w:t xml:space="preserve">(6)</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The amyloid hypothesis presumes that tau accumulation is an effect of neurodegeneration. </w:t>
      </w:r>
      <w:r w:rsidDel="00000000" w:rsidR="00000000" w:rsidRPr="00000000">
        <w:rPr>
          <w:rFonts w:ascii="Times New Roman" w:cs="Times New Roman" w:eastAsia="Times New Roman" w:hAnsi="Times New Roman"/>
          <w:rtl w:val="0"/>
        </w:rPr>
        <w:t xml:space="preserve">Tau</w:t>
      </w:r>
      <w:r w:rsidDel="00000000" w:rsidR="00000000" w:rsidRPr="00000000">
        <w:rPr>
          <w:rFonts w:ascii="Times New Roman" w:cs="Times New Roman" w:eastAsia="Times New Roman" w:hAnsi="Times New Roman"/>
          <w:rtl w:val="0"/>
        </w:rPr>
        <w:t xml:space="preserve"> is a highly soluble microtubule-associated protein, which is mainly concentrated in axons and stabilizes the microtubule structure. In A</w:t>
      </w:r>
      <w:r w:rsidDel="00000000" w:rsidR="00000000" w:rsidRPr="00000000">
        <w:rPr>
          <w:rFonts w:ascii="Times New Roman" w:cs="Times New Roman" w:eastAsia="Times New Roman" w:hAnsi="Times New Roman"/>
          <w:rtl w:val="0"/>
        </w:rPr>
        <w:t xml:space="preserve">D, tau is hyperphosphorylated and unable to interact with microtubules, which causes aggregation into neurofibrillary tangles and disrupts axonal flow </w:t>
      </w:r>
      <w:hyperlink r:id="rId13">
        <w:r w:rsidDel="00000000" w:rsidR="00000000" w:rsidRPr="00000000">
          <w:rPr>
            <w:rFonts w:ascii="Times New Roman" w:cs="Times New Roman" w:eastAsia="Times New Roman" w:hAnsi="Times New Roman"/>
            <w:b w:val="0"/>
            <w:color w:val="000000"/>
            <w:u w:val="none"/>
            <w:rtl w:val="0"/>
          </w:rPr>
          <w:t xml:space="preserve">(7)</w:t>
        </w:r>
      </w:hyperlink>
      <w:r w:rsidDel="00000000" w:rsidR="00000000" w:rsidRPr="00000000">
        <w:rPr>
          <w:rFonts w:ascii="Times New Roman" w:cs="Times New Roman" w:eastAsia="Times New Roman" w:hAnsi="Times New Roman"/>
          <w:rtl w:val="0"/>
        </w:rPr>
        <w:t xml:space="preserve">. CSF phosphorylated-tau (p-tau) correlates to the amount of neurofibrillary tangles found in the brain and thus total-tau (t-tau) is also increased </w:t>
      </w:r>
      <w:hyperlink r:id="rId14">
        <w:r w:rsidDel="00000000" w:rsidR="00000000" w:rsidRPr="00000000">
          <w:rPr>
            <w:rFonts w:ascii="Times New Roman" w:cs="Times New Roman" w:eastAsia="Times New Roman" w:hAnsi="Times New Roman"/>
            <w:b w:val="0"/>
            <w:color w:val="000000"/>
            <w:u w:val="none"/>
            <w:rtl w:val="0"/>
          </w:rPr>
          <w:t xml:space="preserve">(5)</w:t>
        </w:r>
      </w:hyperlink>
      <w:r w:rsidDel="00000000" w:rsidR="00000000" w:rsidRPr="00000000">
        <w:rPr>
          <w:rFonts w:ascii="Times New Roman" w:cs="Times New Roman" w:eastAsia="Times New Roman" w:hAnsi="Times New Roman"/>
          <w:rtl w:val="0"/>
        </w:rPr>
        <w:t xml:space="preserve">. Together, amyloid plaque and neurofibrillary tangles cause neurodegeneration that is </w:t>
      </w:r>
      <w:r w:rsidDel="00000000" w:rsidR="00000000" w:rsidRPr="00000000">
        <w:rPr>
          <w:rFonts w:ascii="Times New Roman" w:cs="Times New Roman" w:eastAsia="Times New Roman" w:hAnsi="Times New Roman"/>
          <w:rtl w:val="0"/>
        </w:rPr>
        <w:t xml:space="preserve">a neuropathological </w:t>
      </w:r>
      <w:r w:rsidDel="00000000" w:rsidR="00000000" w:rsidRPr="00000000">
        <w:rPr>
          <w:rFonts w:ascii="Times New Roman" w:cs="Times New Roman" w:eastAsia="Times New Roman" w:hAnsi="Times New Roman"/>
          <w:rtl w:val="0"/>
        </w:rPr>
        <w:t xml:space="preserve">characteristic for AD.</w:t>
      </w:r>
      <w:r w:rsidDel="00000000" w:rsidR="00000000" w:rsidRPr="00000000">
        <w:rPr>
          <w:rtl w:val="0"/>
        </w:rPr>
      </w:r>
    </w:p>
    <w:p w:rsidR="00000000" w:rsidDel="00000000" w:rsidP="00000000" w:rsidRDefault="00000000" w:rsidRPr="00000000">
      <w:pPr>
        <w:widowControl w:val="0"/>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rtl w:val="0"/>
        </w:rPr>
        <w:t xml:space="preserve">atients </w:t>
      </w:r>
      <w:r w:rsidDel="00000000" w:rsidR="00000000" w:rsidRPr="00000000">
        <w:rPr>
          <w:rFonts w:ascii="Times New Roman" w:cs="Times New Roman" w:eastAsia="Times New Roman" w:hAnsi="Times New Roman"/>
          <w:rtl w:val="0"/>
        </w:rPr>
        <w:t xml:space="preserve">who develop AD pass through a transitional state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which can be characterized as Mild Cognitive Impairment (MCI). MCI is a brain dysfunction syndrome which does not cause significant interference with daily functioning. In some patients MCI progresses to AD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in other cases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MCI is a more benign condition which may remit, remain stable, or may progress to AD more slowly </w:t>
      </w:r>
      <w:hyperlink r:id="rId15">
        <w:r w:rsidDel="00000000" w:rsidR="00000000" w:rsidRPr="00000000">
          <w:rPr>
            <w:rFonts w:ascii="Times New Roman" w:cs="Times New Roman" w:eastAsia="Times New Roman" w:hAnsi="Times New Roman"/>
            <w:b w:val="0"/>
            <w:color w:val="000000"/>
            <w:u w:val="none"/>
            <w:rtl w:val="0"/>
          </w:rPr>
          <w:t xml:space="preserve">(8)</w:t>
        </w:r>
      </w:hyperlink>
      <w:r w:rsidDel="00000000" w:rsidR="00000000" w:rsidRPr="00000000">
        <w:rPr>
          <w:rFonts w:ascii="Times New Roman" w:cs="Times New Roman" w:eastAsia="Times New Roman" w:hAnsi="Times New Roman"/>
          <w:rtl w:val="0"/>
        </w:rPr>
        <w:t xml:space="preserve">. Specifically</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MCI patients with primary memory deficits have a significantly higher likelihood to progress to probable AD, with a conversion rate of 10-15% per year </w:t>
      </w:r>
      <w:hyperlink r:id="rId16">
        <w:r w:rsidDel="00000000" w:rsidR="00000000" w:rsidRPr="00000000">
          <w:rPr>
            <w:rFonts w:ascii="Times New Roman" w:cs="Times New Roman" w:eastAsia="Times New Roman" w:hAnsi="Times New Roman"/>
            <w:b w:val="0"/>
            <w:color w:val="000000"/>
            <w:u w:val="none"/>
            <w:rtl w:val="0"/>
          </w:rPr>
          <w:t xml:space="preserve">(9)</w:t>
        </w:r>
      </w:hyperlink>
      <w:r w:rsidDel="00000000" w:rsidR="00000000" w:rsidRPr="00000000">
        <w:rPr>
          <w:rFonts w:ascii="Times New Roman" w:cs="Times New Roman" w:eastAsia="Times New Roman" w:hAnsi="Times New Roman"/>
          <w:rtl w:val="0"/>
        </w:rPr>
        <w:t xml:space="preserve">.  Recently, it has been shown that amyloid deposition occurs years before clinical dementia and is related to disease progression </w:t>
      </w:r>
      <w:hyperlink r:id="rId17">
        <w:r w:rsidDel="00000000" w:rsidR="00000000" w:rsidRPr="00000000">
          <w:rPr>
            <w:rFonts w:ascii="Times New Roman" w:cs="Times New Roman" w:eastAsia="Times New Roman" w:hAnsi="Times New Roman"/>
            <w:b w:val="0"/>
            <w:color w:val="000000"/>
            <w:u w:val="none"/>
            <w:rtl w:val="0"/>
          </w:rPr>
          <w:t xml:space="preserve">(10)</w:t>
        </w:r>
      </w:hyperlink>
      <w:r w:rsidDel="00000000" w:rsidR="00000000" w:rsidRPr="00000000">
        <w:rPr>
          <w:rFonts w:ascii="Times New Roman" w:cs="Times New Roman" w:eastAsia="Times New Roman" w:hAnsi="Times New Roman"/>
          <w:rtl w:val="0"/>
        </w:rPr>
        <w:t xml:space="preserve">. Thus, MCI represents an important </w:t>
      </w:r>
      <w:r w:rsidDel="00000000" w:rsidR="00000000" w:rsidRPr="00000000">
        <w:rPr>
          <w:rFonts w:ascii="Times New Roman" w:cs="Times New Roman" w:eastAsia="Times New Roman" w:hAnsi="Times New Roman"/>
          <w:rtl w:val="0"/>
        </w:rPr>
        <w:t xml:space="preserve">research </w:t>
      </w:r>
      <w:r w:rsidDel="00000000" w:rsidR="00000000" w:rsidRPr="00000000">
        <w:rPr>
          <w:rFonts w:ascii="Times New Roman" w:cs="Times New Roman" w:eastAsia="Times New Roman" w:hAnsi="Times New Roman"/>
          <w:rtl w:val="0"/>
        </w:rPr>
        <w:t xml:space="preserve">group to determine which patients develop AD</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as well as </w:t>
      </w:r>
      <w:r w:rsidDel="00000000" w:rsidR="00000000" w:rsidRPr="00000000">
        <w:rPr>
          <w:rFonts w:ascii="Times New Roman" w:cs="Times New Roman" w:eastAsia="Times New Roman" w:hAnsi="Times New Roman"/>
          <w:rtl w:val="0"/>
        </w:rPr>
        <w:t xml:space="preserve">to better understand </w:t>
      </w:r>
      <w:r w:rsidDel="00000000" w:rsidR="00000000" w:rsidRPr="00000000">
        <w:rPr>
          <w:rFonts w:ascii="Times New Roman" w:cs="Times New Roman" w:eastAsia="Times New Roman" w:hAnsi="Times New Roman"/>
          <w:rtl w:val="0"/>
        </w:rPr>
        <w:t xml:space="preserve">how AD progresses. With the </w:t>
      </w:r>
      <w:r w:rsidDel="00000000" w:rsidR="00000000" w:rsidRPr="00000000">
        <w:rPr>
          <w:rFonts w:ascii="Times New Roman" w:cs="Times New Roman" w:eastAsia="Times New Roman" w:hAnsi="Times New Roman"/>
          <w:rtl w:val="0"/>
        </w:rPr>
        <w:t xml:space="preserve">main </w:t>
      </w:r>
      <w:r w:rsidDel="00000000" w:rsidR="00000000" w:rsidRPr="00000000">
        <w:rPr>
          <w:rFonts w:ascii="Times New Roman" w:cs="Times New Roman" w:eastAsia="Times New Roman" w:hAnsi="Times New Roman"/>
          <w:rtl w:val="0"/>
        </w:rPr>
        <w:t xml:space="preserve">advances taking place in the field of AD treatment it is important to commence treatment at the earliest stages </w:t>
      </w:r>
      <w:hyperlink r:id="rId18">
        <w:r w:rsidDel="00000000" w:rsidR="00000000" w:rsidRPr="00000000">
          <w:rPr>
            <w:rFonts w:ascii="Times New Roman" w:cs="Times New Roman" w:eastAsia="Times New Roman" w:hAnsi="Times New Roman"/>
            <w:b w:val="0"/>
            <w:color w:val="000000"/>
            <w:u w:val="none"/>
            <w:rtl w:val="0"/>
          </w:rPr>
          <w:t xml:space="preserve">(11)</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so that patients may receive the maximal benefit of possible treatment options. </w:t>
      </w:r>
    </w:p>
    <w:p w:rsidR="00000000" w:rsidDel="00000000" w:rsidP="00000000" w:rsidRDefault="00000000" w:rsidRPr="00000000">
      <w:pPr>
        <w:widowControl w:val="0"/>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Diagnosing AD </w:t>
      </w:r>
      <w:r w:rsidDel="00000000" w:rsidR="00000000" w:rsidRPr="00000000">
        <w:rPr>
          <w:rFonts w:ascii="Times New Roman" w:cs="Times New Roman" w:eastAsia="Times New Roman" w:hAnsi="Times New Roman"/>
          <w:rtl w:val="0"/>
        </w:rPr>
        <w:t xml:space="preserve">can be </w:t>
      </w: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rtl w:val="0"/>
        </w:rPr>
        <w:t xml:space="preserve">challenging </w:t>
      </w:r>
      <w:r w:rsidDel="00000000" w:rsidR="00000000" w:rsidRPr="00000000">
        <w:rPr>
          <w:rFonts w:ascii="Times New Roman" w:cs="Times New Roman" w:eastAsia="Times New Roman" w:hAnsi="Times New Roman"/>
          <w:rtl w:val="0"/>
        </w:rPr>
        <w:t xml:space="preserve"> task</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especially in </w:t>
      </w:r>
      <w:r w:rsidDel="00000000" w:rsidR="00000000" w:rsidRPr="00000000">
        <w:rPr>
          <w:rFonts w:ascii="Times New Roman" w:cs="Times New Roman" w:eastAsia="Times New Roman" w:hAnsi="Times New Roman"/>
          <w:rtl w:val="0"/>
        </w:rPr>
        <w:t xml:space="preserve">younger patients and in </w:t>
      </w:r>
      <w:r w:rsidDel="00000000" w:rsidR="00000000" w:rsidRPr="00000000">
        <w:rPr>
          <w:rFonts w:ascii="Times New Roman" w:cs="Times New Roman" w:eastAsia="Times New Roman" w:hAnsi="Times New Roman"/>
          <w:rtl w:val="0"/>
        </w:rPr>
        <w:t xml:space="preserve">early disease stages. </w:t>
      </w:r>
      <w:r w:rsidDel="00000000" w:rsidR="00000000" w:rsidRPr="00000000">
        <w:rPr>
          <w:rFonts w:ascii="Times New Roman" w:cs="Times New Roman" w:eastAsia="Times New Roman" w:hAnsi="Times New Roman"/>
          <w:rtl w:val="0"/>
        </w:rPr>
        <w:t xml:space="preserve">As stated by Whitehouse </w:t>
      </w:r>
      <w:hyperlink r:id="rId19">
        <w:r w:rsidDel="00000000" w:rsidR="00000000" w:rsidRPr="00000000">
          <w:rPr>
            <w:rFonts w:ascii="Times New Roman" w:cs="Times New Roman" w:eastAsia="Times New Roman" w:hAnsi="Times New Roman"/>
            <w:b w:val="0"/>
            <w:color w:val="000000"/>
            <w:u w:val="none"/>
            <w:rtl w:val="0"/>
          </w:rPr>
          <w:t xml:space="preserve">(12)</w:t>
        </w:r>
      </w:hyperlink>
      <w:r w:rsidDel="00000000" w:rsidR="00000000" w:rsidRPr="00000000">
        <w:rPr>
          <w:rFonts w:ascii="Times New Roman" w:cs="Times New Roman" w:eastAsia="Times New Roman" w:hAnsi="Times New Roman"/>
          <w:rtl w:val="0"/>
        </w:rPr>
        <w:t xml:space="preserve">, AD can only be definitively diagnosed by biopsy or at autopsy. This is done by looking at the numbers of plaques and tangles that are present in the specific biopsied region of the brain. The person must also have a clinical history that is consistent with dementia.</w:t>
      </w:r>
      <w:r w:rsidDel="00000000" w:rsidR="00000000" w:rsidRPr="00000000">
        <w:rPr>
          <w:rFonts w:ascii="Times New Roman" w:cs="Times New Roman" w:eastAsia="Times New Roman" w:hAnsi="Times New Roman"/>
          <w:rtl w:val="0"/>
        </w:rPr>
        <w:t xml:space="preserve">A brain biopsy in an invasive procedure which requires the removal of a small piece of the brain for the diagnosis of abnormalities in the brain. In AD, the </w:t>
      </w:r>
      <w:r w:rsidDel="00000000" w:rsidR="00000000" w:rsidRPr="00000000">
        <w:rPr>
          <w:rFonts w:ascii="Times New Roman" w:cs="Times New Roman" w:eastAsia="Times New Roman" w:hAnsi="Times New Roman"/>
          <w:rtl w:val="0"/>
        </w:rPr>
        <w:t xml:space="preserve">brain </w:t>
      </w:r>
      <w:r w:rsidDel="00000000" w:rsidR="00000000" w:rsidRPr="00000000">
        <w:rPr>
          <w:rFonts w:ascii="Times New Roman" w:cs="Times New Roman" w:eastAsia="Times New Roman" w:hAnsi="Times New Roman"/>
          <w:rtl w:val="0"/>
        </w:rPr>
        <w:t xml:space="preserve">cortex contains abnormal collections of plaque. Due to its invasive nature, a brain biopsy is linked to risks associated with anesthesia and surgery as well as possible brain injury. Scarring that can be caused by the biopsy can in turn cause seizures. Hence, a different method is desired to diagnose AD with certainty. </w:t>
      </w:r>
    </w:p>
    <w:p w:rsidR="00000000" w:rsidDel="00000000" w:rsidP="00000000" w:rsidRDefault="00000000" w:rsidRPr="00000000">
      <w:pPr>
        <w:widowControl w:val="0"/>
        <w:pBdr/>
        <w:ind w:firstLine="720"/>
        <w:contextualSpacing w:val="0"/>
        <w:jc w:val="both"/>
        <w:rPr>
          <w:rFonts w:ascii="Times New Roman" w:cs="Times New Roman" w:eastAsia="Times New Roman" w:hAnsi="Times New Roman"/>
          <w:color w:val="252525"/>
          <w:highlight w:val="white"/>
        </w:rPr>
      </w:pPr>
      <w:r w:rsidDel="00000000" w:rsidR="00000000" w:rsidRPr="00000000">
        <w:rPr>
          <w:rFonts w:ascii="Times New Roman" w:cs="Times New Roman" w:eastAsia="Times New Roman" w:hAnsi="Times New Roman"/>
          <w:rtl w:val="0"/>
        </w:rPr>
        <w:t xml:space="preserve">In the last 60 years, an evolution of technological advancements in brain metabolism and radiotracer development has occurred </w:t>
      </w:r>
      <w:hyperlink r:id="rId20">
        <w:r w:rsidDel="00000000" w:rsidR="00000000" w:rsidRPr="00000000">
          <w:rPr>
            <w:rFonts w:ascii="Times New Roman" w:cs="Times New Roman" w:eastAsia="Times New Roman" w:hAnsi="Times New Roman"/>
            <w:b w:val="0"/>
            <w:color w:val="000000"/>
            <w:u w:val="none"/>
            <w:rtl w:val="0"/>
          </w:rPr>
          <w:t xml:space="preserve">(10)</w:t>
        </w:r>
      </w:hyperlink>
      <w:r w:rsidDel="00000000" w:rsidR="00000000" w:rsidRPr="00000000">
        <w:rPr>
          <w:rFonts w:ascii="Times New Roman" w:cs="Times New Roman" w:eastAsia="Times New Roman" w:hAnsi="Times New Roman"/>
          <w:rtl w:val="0"/>
        </w:rPr>
        <w:t xml:space="preserve">. These advancements have facilitated the development of </w:t>
      </w: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rtl w:val="0"/>
        </w:rPr>
        <w:t xml:space="preserve">modern cerebral </w:t>
      </w:r>
      <w:r w:rsidDel="00000000" w:rsidR="00000000" w:rsidRPr="00000000">
        <w:rPr>
          <w:rFonts w:ascii="Times New Roman" w:cs="Times New Roman" w:eastAsia="Times New Roman" w:hAnsi="Times New Roman"/>
          <w:rtl w:val="0"/>
        </w:rPr>
        <w:t xml:space="preserve">positron emission tomography (</w:t>
      </w:r>
      <w:r w:rsidDel="00000000" w:rsidR="00000000" w:rsidRPr="00000000">
        <w:rPr>
          <w:rFonts w:ascii="Times New Roman" w:cs="Times New Roman" w:eastAsia="Times New Roman" w:hAnsi="Times New Roman"/>
          <w:rtl w:val="0"/>
        </w:rPr>
        <w:t xml:space="preserve">PET</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Following World War II, safe radioisotopes were developed bringing PET imaging one step closer to fruition. In 1976, the radiotracer </w:t>
      </w:r>
      <w:r w:rsidDel="00000000" w:rsidR="00000000" w:rsidRPr="00000000">
        <w:rPr>
          <w:rFonts w:ascii="Times New Roman" w:cs="Times New Roman" w:eastAsia="Times New Roman" w:hAnsi="Times New Roman"/>
          <w:color w:val="252525"/>
          <w:rtl w:val="0"/>
        </w:rPr>
        <w:t xml:space="preserve">2-deoxy-2-[</w:t>
      </w:r>
      <w:r w:rsidDel="00000000" w:rsidR="00000000" w:rsidRPr="00000000">
        <w:rPr>
          <w:rFonts w:ascii="Times New Roman" w:cs="Times New Roman" w:eastAsia="Times New Roman" w:hAnsi="Times New Roman"/>
          <w:color w:val="252525"/>
          <w:vertAlign w:val="superscript"/>
          <w:rtl w:val="0"/>
        </w:rPr>
        <w:t xml:space="preserve">18</w:t>
      </w:r>
      <w:r w:rsidDel="00000000" w:rsidR="00000000" w:rsidRPr="00000000">
        <w:rPr>
          <w:rFonts w:ascii="Times New Roman" w:cs="Times New Roman" w:eastAsia="Times New Roman" w:hAnsi="Times New Roman"/>
          <w:color w:val="252525"/>
          <w:rtl w:val="0"/>
        </w:rPr>
        <w:t xml:space="preserve">F]fluoro-D-glucose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color w:val="252525"/>
          <w:highlight w:val="white"/>
          <w:rtl w:val="0"/>
        </w:rPr>
        <w:t xml:space="preserve"> was first synthesized. This compound is one of the most widely used radiotracers today for neuroimaging and cancer diagnosis. </w:t>
      </w:r>
    </w:p>
    <w:p w:rsidR="00000000" w:rsidDel="00000000" w:rsidP="00000000" w:rsidRDefault="00000000" w:rsidRPr="00000000">
      <w:pPr>
        <w:widowControl w:val="0"/>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 is a marker for the tissue uptake of glucose, which closely correlates with tissue metabolism </w:t>
      </w:r>
      <w:hyperlink r:id="rId21">
        <w:r w:rsidDel="00000000" w:rsidR="00000000" w:rsidRPr="00000000">
          <w:rPr>
            <w:rFonts w:ascii="Times New Roman" w:cs="Times New Roman" w:eastAsia="Times New Roman" w:hAnsi="Times New Roman"/>
            <w:b w:val="0"/>
            <w:color w:val="000000"/>
            <w:highlight w:val="white"/>
            <w:u w:val="none"/>
            <w:rtl w:val="0"/>
          </w:rPr>
          <w:t xml:space="preserve">(13)</w:t>
        </w:r>
      </w:hyperlink>
      <w:r w:rsidDel="00000000" w:rsidR="00000000" w:rsidRPr="00000000">
        <w:rPr>
          <w:rFonts w:ascii="Times New Roman" w:cs="Times New Roman" w:eastAsia="Times New Roman" w:hAnsi="Times New Roman"/>
          <w:color w:val="252525"/>
          <w:highlight w:val="white"/>
          <w:rtl w:val="0"/>
        </w:rPr>
        <w:t xml:space="preserve">.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color w:val="252525"/>
          <w:highlight w:val="white"/>
          <w:rtl w:val="0"/>
        </w:rPr>
        <w:t xml:space="preserve"> cannot be metabolized by the cell, thus cannot be moved out of the cell before radioactive decay. As a result, the distribution of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color w:val="252525"/>
          <w:highlight w:val="white"/>
          <w:rtl w:val="0"/>
        </w:rPr>
        <w:t xml:space="preserve"> is a good reflection of the distribution of glucose uptake by cells in the body. Loss of neurons may result in decreased glucose consumption in distinct brain regions. Areas affected with amyloid beta plaque will most likely show altered glucose uptake compared to healthy controls </w:t>
      </w:r>
      <w:hyperlink r:id="rId22">
        <w:r w:rsidDel="00000000" w:rsidR="00000000" w:rsidRPr="00000000">
          <w:rPr>
            <w:rFonts w:ascii="Times New Roman" w:cs="Times New Roman" w:eastAsia="Times New Roman" w:hAnsi="Times New Roman"/>
            <w:b w:val="0"/>
            <w:color w:val="000000"/>
            <w:highlight w:val="white"/>
            <w:u w:val="none"/>
            <w:rtl w:val="0"/>
          </w:rPr>
          <w:t xml:space="preserve">(14)</w:t>
        </w:r>
      </w:hyperlink>
      <w:r w:rsidDel="00000000" w:rsidR="00000000" w:rsidRPr="00000000">
        <w:rPr>
          <w:rFonts w:ascii="Times New Roman" w:cs="Times New Roman" w:eastAsia="Times New Roman" w:hAnsi="Times New Roman"/>
          <w:rtl w:val="0"/>
        </w:rPr>
        <w:t xml:space="preserve">. In AD patients,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findings reflect a pattern of reduced glucose uptake in temporoparietal association areas, including the precuneus and the posterior cingulate gyrus </w:t>
      </w:r>
      <w:hyperlink r:id="rId23">
        <w:r w:rsidDel="00000000" w:rsidR="00000000" w:rsidRPr="00000000">
          <w:rPr>
            <w:rFonts w:ascii="Times New Roman" w:cs="Times New Roman" w:eastAsia="Times New Roman" w:hAnsi="Times New Roman"/>
            <w:b w:val="0"/>
            <w:color w:val="000000"/>
            <w:u w:val="none"/>
            <w:rtl w:val="0"/>
          </w:rPr>
          <w:t xml:space="preserve">(15)</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52525"/>
          <w:highlight w:val="white"/>
          <w:rtl w:val="0"/>
        </w:rPr>
        <w:t xml:space="preserve">More recently, advances in the early and </w:t>
      </w:r>
      <w:r w:rsidDel="00000000" w:rsidR="00000000" w:rsidRPr="00000000">
        <w:rPr>
          <w:rFonts w:ascii="Times New Roman" w:cs="Times New Roman" w:eastAsia="Times New Roman" w:hAnsi="Times New Roman"/>
          <w:color w:val="252525"/>
          <w:highlight w:val="white"/>
          <w:rtl w:val="0"/>
        </w:rPr>
        <w:t xml:space="preserve">differential diagnosis of AD </w:t>
      </w:r>
      <w:r w:rsidDel="00000000" w:rsidR="00000000" w:rsidRPr="00000000">
        <w:rPr>
          <w:rFonts w:ascii="Times New Roman" w:cs="Times New Roman" w:eastAsia="Times New Roman" w:hAnsi="Times New Roman"/>
          <w:color w:val="252525"/>
          <w:highlight w:val="white"/>
          <w:rtl w:val="0"/>
        </w:rPr>
        <w:t xml:space="preserve">include the use of </w:t>
      </w:r>
      <w:r w:rsidDel="00000000" w:rsidR="00000000" w:rsidRPr="00000000">
        <w:rPr>
          <w:rFonts w:ascii="Times New Roman" w:cs="Times New Roman" w:eastAsia="Times New Roman" w:hAnsi="Times New Roman"/>
          <w:color w:val="252525"/>
          <w:highlight w:val="white"/>
          <w:vertAlign w:val="superscript"/>
          <w:rtl w:val="0"/>
        </w:rPr>
        <w:t xml:space="preserve">11</w:t>
      </w:r>
      <w:r w:rsidDel="00000000" w:rsidR="00000000" w:rsidRPr="00000000">
        <w:rPr>
          <w:rFonts w:ascii="Times New Roman" w:cs="Times New Roman" w:eastAsia="Times New Roman" w:hAnsi="Times New Roman"/>
          <w:color w:val="252525"/>
          <w:highlight w:val="white"/>
          <w:rtl w:val="0"/>
        </w:rPr>
        <w:t xml:space="preserve">C-Pittsburgh compound B (</w:t>
      </w:r>
      <w:r w:rsidDel="00000000" w:rsidR="00000000" w:rsidRPr="00000000">
        <w:rPr>
          <w:rFonts w:ascii="Times New Roman" w:cs="Times New Roman" w:eastAsia="Times New Roman" w:hAnsi="Times New Roman"/>
          <w:color w:val="252525"/>
          <w:highlight w:val="white"/>
          <w:vertAlign w:val="superscript"/>
          <w:rtl w:val="0"/>
        </w:rPr>
        <w:t xml:space="preserve">11</w:t>
      </w:r>
      <w:r w:rsidDel="00000000" w:rsidR="00000000" w:rsidRPr="00000000">
        <w:rPr>
          <w:rFonts w:ascii="Times New Roman" w:cs="Times New Roman" w:eastAsia="Times New Roman" w:hAnsi="Times New Roman"/>
          <w:color w:val="252525"/>
          <w:highlight w:val="white"/>
          <w:rtl w:val="0"/>
        </w:rPr>
        <w:t xml:space="preserve">C-PiB) which preferentially binds to extracellular amyloid plaques.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is a radiotracer, which can be used in PET scans to image extracellular amyloid-beta plaques in neuronal tissue </w:t>
      </w:r>
      <w:hyperlink r:id="rId24">
        <w:r w:rsidDel="00000000" w:rsidR="00000000" w:rsidRPr="00000000">
          <w:rPr>
            <w:rFonts w:ascii="Times New Roman" w:cs="Times New Roman" w:eastAsia="Times New Roman" w:hAnsi="Times New Roman"/>
            <w:b w:val="0"/>
            <w:color w:val="000000"/>
            <w:u w:val="none"/>
            <w:rtl w:val="0"/>
          </w:rPr>
          <w:t xml:space="preserve">(16)</w:t>
        </w:r>
      </w:hyperlink>
      <w:r w:rsidDel="00000000" w:rsidR="00000000" w:rsidRPr="00000000">
        <w:rPr>
          <w:rFonts w:ascii="Times New Roman" w:cs="Times New Roman" w:eastAsia="Times New Roman" w:hAnsi="Times New Roman"/>
          <w:rtl w:val="0"/>
        </w:rPr>
        <w:t xml:space="preserve"> as it</w:t>
      </w:r>
      <w:r w:rsidDel="00000000" w:rsidR="00000000" w:rsidRPr="00000000">
        <w:rPr>
          <w:rFonts w:ascii="Times New Roman" w:cs="Times New Roman" w:eastAsia="Times New Roman" w:hAnsi="Times New Roman"/>
          <w:rtl w:val="0"/>
        </w:rPr>
        <w:t xml:space="preserve"> preferentially targets and binds to fibrillar amyloid beta forms found in dense core plaques </w:t>
      </w:r>
      <w:hyperlink r:id="rId25">
        <w:r w:rsidDel="00000000" w:rsidR="00000000" w:rsidRPr="00000000">
          <w:rPr>
            <w:rFonts w:ascii="Times New Roman" w:cs="Times New Roman" w:eastAsia="Times New Roman" w:hAnsi="Times New Roman"/>
            <w:b w:val="0"/>
            <w:color w:val="000000"/>
            <w:u w:val="none"/>
            <w:rtl w:val="0"/>
          </w:rPr>
          <w:t xml:space="preserve">(17)</w:t>
        </w:r>
      </w:hyperlink>
      <w:r w:rsidDel="00000000" w:rsidR="00000000" w:rsidRPr="00000000">
        <w:rPr>
          <w:rFonts w:ascii="Times New Roman" w:cs="Times New Roman" w:eastAsia="Times New Roman" w:hAnsi="Times New Roman"/>
          <w:rtl w:val="0"/>
        </w:rPr>
        <w:t xml:space="preserve">. In AD,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uptake is significantly higher in the frontal and parietal cortices as well as the posterior cingulate than control subjects </w:t>
      </w:r>
      <w:hyperlink r:id="rId26">
        <w:r w:rsidDel="00000000" w:rsidR="00000000" w:rsidRPr="00000000">
          <w:rPr>
            <w:rFonts w:ascii="Times New Roman" w:cs="Times New Roman" w:eastAsia="Times New Roman" w:hAnsi="Times New Roman"/>
            <w:b w:val="0"/>
            <w:color w:val="000000"/>
            <w:u w:val="none"/>
            <w:rtl w:val="0"/>
          </w:rPr>
          <w:t xml:space="preserve">(18)</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In a meta-analysis performed by Zhang et al. </w:t>
      </w:r>
      <w:hyperlink r:id="rId27">
        <w:r w:rsidDel="00000000" w:rsidR="00000000" w:rsidRPr="00000000">
          <w:rPr>
            <w:rFonts w:ascii="Times New Roman" w:cs="Times New Roman" w:eastAsia="Times New Roman" w:hAnsi="Times New Roman"/>
            <w:b w:val="0"/>
            <w:color w:val="000000"/>
            <w:u w:val="none"/>
            <w:rtl w:val="0"/>
          </w:rPr>
          <w:t xml:space="preserve">(19)</w:t>
        </w:r>
      </w:hyperlink>
      <w:r w:rsidDel="00000000" w:rsidR="00000000" w:rsidRPr="00000000">
        <w:rPr>
          <w:rFonts w:ascii="Times New Roman" w:cs="Times New Roman" w:eastAsia="Times New Roman" w:hAnsi="Times New Roman"/>
          <w:rtl w:val="0"/>
        </w:rPr>
        <w:t xml:space="preserve"> it was found that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has a sensitivity of 78.7% and 74.0% specificity.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on the other hand, has a sensitivity of 93.5% and a specificity of 56.2%. Hence,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may be used to be able to distinguish between dementias as it is not specific for AD. While amyloid imaging sensitive to AD, it is not particularly specific, suggesting that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could also be a marker for other neurodegenerative diseases such as Parkinson’s Disease </w:t>
      </w:r>
      <w:hyperlink r:id="rId28">
        <w:r w:rsidDel="00000000" w:rsidR="00000000" w:rsidRPr="00000000">
          <w:rPr>
            <w:rFonts w:ascii="Times New Roman" w:cs="Times New Roman" w:eastAsia="Times New Roman" w:hAnsi="Times New Roman"/>
            <w:b w:val="0"/>
            <w:color w:val="000000"/>
            <w:u w:val="none"/>
            <w:rtl w:val="0"/>
          </w:rPr>
          <w:t xml:space="preserve">(20)</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Therefore, the combination of both PET techniques is a promising option for prediction and diagnosis purposes. </w:t>
      </w:r>
    </w:p>
    <w:p w:rsidR="00000000" w:rsidDel="00000000" w:rsidP="00000000" w:rsidRDefault="00000000" w:rsidRPr="00000000">
      <w:pPr>
        <w:widowControl w:val="0"/>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52525"/>
          <w:highlight w:val="white"/>
          <w:rtl w:val="0"/>
        </w:rPr>
        <w:t xml:space="preserve"> </w:t>
      </w:r>
      <w:r w:rsidDel="00000000" w:rsidR="00000000" w:rsidRPr="00000000">
        <w:rPr>
          <w:rFonts w:ascii="Times New Roman" w:cs="Times New Roman" w:eastAsia="Times New Roman" w:hAnsi="Times New Roman"/>
          <w:rtl w:val="0"/>
        </w:rPr>
        <w:t xml:space="preserve">This thesis will focus on the use of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radiotracers in PET imaging and how these methods can help in the diagnosis as well as mapping the disease progression of AD.</w:t>
      </w:r>
      <w:r w:rsidDel="00000000" w:rsidR="00000000" w:rsidRPr="00000000">
        <w:rPr>
          <w:rFonts w:ascii="Times New Roman" w:cs="Times New Roman" w:eastAsia="Times New Roman" w:hAnsi="Times New Roman"/>
          <w:rtl w:val="0"/>
        </w:rPr>
        <w:t xml:space="preserve"> The main objectives were to understand the pattern of 18F-FDG and 11C-PiB uptake for AD and MCI subjects and the similarities and differences between AD and MCI subjects in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uptake.</w:t>
      </w:r>
    </w:p>
    <w:p w:rsidR="00000000" w:rsidDel="00000000" w:rsidP="00000000" w:rsidRDefault="00000000" w:rsidRPr="00000000">
      <w:pPr>
        <w:pStyle w:val="Heading3"/>
        <w:pBdr/>
        <w:ind w:left="0" w:firstLine="720"/>
        <w:contextualSpacing w:val="0"/>
        <w:jc w:val="both"/>
        <w:rPr>
          <w:rFonts w:ascii="Times New Roman" w:cs="Times New Roman" w:eastAsia="Times New Roman" w:hAnsi="Times New Roman"/>
        </w:rPr>
      </w:pPr>
      <w:bookmarkStart w:colFirst="0" w:colLast="0" w:name="_xuw9vphnto35" w:id="2"/>
      <w:bookmarkEnd w:id="2"/>
      <w:r w:rsidDel="00000000" w:rsidR="00000000" w:rsidRPr="00000000">
        <w:rPr>
          <w:rtl w:val="0"/>
        </w:rPr>
      </w:r>
    </w:p>
    <w:p w:rsidR="00000000" w:rsidDel="00000000" w:rsidP="00000000" w:rsidRDefault="00000000" w:rsidRPr="00000000">
      <w:pPr>
        <w:pStyle w:val="Heading3"/>
        <w:pBdr/>
        <w:ind w:left="0" w:firstLine="720"/>
        <w:contextualSpacing w:val="0"/>
        <w:jc w:val="both"/>
        <w:rPr>
          <w:rFonts w:ascii="Times New Roman" w:cs="Times New Roman" w:eastAsia="Times New Roman" w:hAnsi="Times New Roman"/>
        </w:rPr>
      </w:pPr>
      <w:bookmarkStart w:colFirst="0" w:colLast="0" w:name="_82ctoxg6e8uu" w:id="3"/>
      <w:bookmarkEnd w:id="3"/>
      <w:r w:rsidDel="00000000" w:rsidR="00000000" w:rsidRPr="00000000">
        <w:br w:type="page"/>
      </w:r>
      <w:r w:rsidDel="00000000" w:rsidR="00000000" w:rsidRPr="00000000">
        <w:rPr>
          <w:rtl w:val="0"/>
        </w:rPr>
      </w:r>
    </w:p>
    <w:p w:rsidR="00000000" w:rsidDel="00000000" w:rsidP="00000000" w:rsidRDefault="00000000" w:rsidRPr="00000000">
      <w:pPr>
        <w:pStyle w:val="Heading3"/>
        <w:pBdr/>
        <w:ind w:left="0" w:firstLine="720"/>
        <w:contextualSpacing w:val="0"/>
        <w:jc w:val="both"/>
        <w:rPr>
          <w:rFonts w:ascii="Times New Roman" w:cs="Times New Roman" w:eastAsia="Times New Roman" w:hAnsi="Times New Roman"/>
        </w:rPr>
      </w:pPr>
      <w:bookmarkStart w:colFirst="0" w:colLast="0" w:name="_5whbthoeu52n" w:id="4"/>
      <w:bookmarkEnd w:id="4"/>
      <w:r w:rsidDel="00000000" w:rsidR="00000000" w:rsidRPr="00000000">
        <w:rPr>
          <w:rFonts w:ascii="Times New Roman" w:cs="Times New Roman" w:eastAsia="Times New Roman" w:hAnsi="Times New Roman"/>
          <w:rtl w:val="0"/>
        </w:rPr>
        <w:t xml:space="preserve">Methodology</w:t>
      </w:r>
      <w:r w:rsidDel="00000000" w:rsidR="00000000" w:rsidRPr="00000000">
        <w:rPr>
          <w:rtl w:val="0"/>
        </w:rPr>
      </w:r>
    </w:p>
    <w:p w:rsidR="00000000" w:rsidDel="00000000" w:rsidP="00000000" w:rsidRDefault="00000000" w:rsidRPr="00000000">
      <w:pPr>
        <w:pStyle w:val="Heading5"/>
        <w:widowControl w:val="0"/>
        <w:pBdr/>
        <w:spacing w:line="276" w:lineRule="auto"/>
        <w:contextualSpacing w:val="0"/>
        <w:jc w:val="both"/>
        <w:rPr>
          <w:rFonts w:ascii="Times New Roman" w:cs="Times New Roman" w:eastAsia="Times New Roman" w:hAnsi="Times New Roman"/>
        </w:rPr>
      </w:pPr>
      <w:bookmarkStart w:colFirst="0" w:colLast="0" w:name="_2et92p0" w:id="5"/>
      <w:bookmarkEnd w:id="5"/>
      <w:r w:rsidDel="00000000" w:rsidR="00000000" w:rsidRPr="00000000">
        <w:rPr>
          <w:rFonts w:ascii="Times New Roman" w:cs="Times New Roman" w:eastAsia="Times New Roman" w:hAnsi="Times New Roman"/>
          <w:rtl w:val="0"/>
        </w:rPr>
        <w:t xml:space="preserve">Study </w:t>
      </w:r>
      <w:r w:rsidDel="00000000" w:rsidR="00000000" w:rsidRPr="00000000">
        <w:rPr>
          <w:rFonts w:ascii="Times New Roman" w:cs="Times New Roman" w:eastAsia="Times New Roman" w:hAnsi="Times New Roman"/>
          <w:rtl w:val="0"/>
        </w:rPr>
        <w:t xml:space="preserve">Design</w:t>
      </w: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cross-sectional observational study</w:t>
      </w:r>
      <w:r w:rsidDel="00000000" w:rsidR="00000000" w:rsidRPr="00000000">
        <w:rPr>
          <w:rFonts w:ascii="Times New Roman" w:cs="Times New Roman" w:eastAsia="Times New Roman" w:hAnsi="Times New Roman"/>
          <w:rtl w:val="0"/>
        </w:rPr>
        <w:t xml:space="preserve"> includes</w:t>
      </w:r>
      <w:r w:rsidDel="00000000" w:rsidR="00000000" w:rsidRPr="00000000">
        <w:rPr>
          <w:rFonts w:ascii="Times New Roman" w:cs="Times New Roman" w:eastAsia="Times New Roman" w:hAnsi="Times New Roman"/>
          <w:rtl w:val="0"/>
        </w:rPr>
        <w:t xml:space="preserve"> the following groups: 10 patients with MCI, 10 patients with probable AD, and 10 healthy control (HC) </w:t>
      </w:r>
      <w:r w:rsidDel="00000000" w:rsidR="00000000" w:rsidRPr="00000000">
        <w:rPr>
          <w:rFonts w:ascii="Times New Roman" w:cs="Times New Roman" w:eastAsia="Times New Roman" w:hAnsi="Times New Roman"/>
          <w:rtl w:val="0"/>
        </w:rPr>
        <w:t xml:space="preserve">subjects</w:t>
      </w:r>
      <w:r w:rsidDel="00000000" w:rsidR="00000000" w:rsidRPr="00000000">
        <w:rPr>
          <w:rFonts w:ascii="Times New Roman" w:cs="Times New Roman" w:eastAsia="Times New Roman" w:hAnsi="Times New Roman"/>
          <w:rtl w:val="0"/>
        </w:rPr>
        <w:t xml:space="preserve">. Patients were recruited from the Memory Clinic UMCG.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According to the Declaration of Helsinki, all participants gave written informed consent. The ethics committee of the University Medical Center of Groningen approved the experiment.</w:t>
      </w: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subjects underwent a standard dementia screening, including medical history, physical and neurological examinations, standard cognitive test battery, the Mini Mental State Exam (MMSE), screening laboratory tests, cerebrospinal fluid analysis (CSF) and a brain </w:t>
      </w:r>
      <w:r w:rsidDel="00000000" w:rsidR="00000000" w:rsidRPr="00000000">
        <w:rPr>
          <w:rFonts w:ascii="Times New Roman" w:cs="Times New Roman" w:eastAsia="Times New Roman" w:hAnsi="Times New Roman"/>
          <w:rtl w:val="0"/>
        </w:rPr>
        <w:t xml:space="preserve">magnetic resonance imaging (</w:t>
      </w:r>
      <w:r w:rsidDel="00000000" w:rsidR="00000000" w:rsidRPr="00000000">
        <w:rPr>
          <w:rFonts w:ascii="Times New Roman" w:cs="Times New Roman" w:eastAsia="Times New Roman" w:hAnsi="Times New Roman"/>
          <w:rtl w:val="0"/>
        </w:rPr>
        <w:t xml:space="preserve">MRI</w:t>
      </w:r>
      <w:r w:rsidDel="00000000" w:rsidR="00000000" w:rsidRPr="00000000">
        <w:rPr>
          <w:rFonts w:ascii="Times New Roman" w:cs="Times New Roman" w:eastAsia="Times New Roman" w:hAnsi="Times New Roman"/>
          <w:rtl w:val="0"/>
        </w:rPr>
        <w:t xml:space="preserve">) as well as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and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PET scans</w:t>
      </w:r>
      <w:r w:rsidDel="00000000" w:rsidR="00000000" w:rsidRPr="00000000">
        <w:rPr>
          <w:rFonts w:ascii="Times New Roman" w:cs="Times New Roman" w:eastAsia="Times New Roman" w:hAnsi="Times New Roman"/>
          <w:rtl w:val="0"/>
        </w:rPr>
        <w:t xml:space="preserve">. Clinical diagnosis was established by consensus in a multidisciplinary meeting according to clinical criteria.  </w:t>
      </w:r>
    </w:p>
    <w:p w:rsidR="00000000" w:rsidDel="00000000" w:rsidP="00000000" w:rsidRDefault="00000000" w:rsidRPr="00000000">
      <w:pPr>
        <w:pStyle w:val="Heading5"/>
        <w:widowControl w:val="0"/>
        <w:pBdr/>
        <w:spacing w:line="276" w:lineRule="auto"/>
        <w:contextualSpacing w:val="0"/>
        <w:jc w:val="both"/>
        <w:rPr>
          <w:rFonts w:ascii="Times New Roman" w:cs="Times New Roman" w:eastAsia="Times New Roman" w:hAnsi="Times New Roman"/>
        </w:rPr>
      </w:pPr>
      <w:bookmarkStart w:colFirst="0" w:colLast="0" w:name="_3dy6vkm" w:id="6"/>
      <w:bookmarkEnd w:id="6"/>
      <w:r w:rsidDel="00000000" w:rsidR="00000000" w:rsidRPr="00000000">
        <w:rPr>
          <w:rFonts w:ascii="Times New Roman" w:cs="Times New Roman" w:eastAsia="Times New Roman" w:hAnsi="Times New Roman"/>
          <w:rtl w:val="0"/>
        </w:rPr>
        <w:t xml:space="preserve">Inclusion Criteria</w:t>
      </w:r>
      <w:r w:rsidDel="00000000" w:rsidR="00000000" w:rsidRPr="00000000">
        <w:rPr>
          <w:rtl w:val="0"/>
        </w:rPr>
      </w:r>
    </w:p>
    <w:p w:rsidR="00000000" w:rsidDel="00000000" w:rsidP="00000000" w:rsidRDefault="00000000" w:rsidRPr="00000000">
      <w:pPr>
        <w:widowControl w:val="0"/>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subjects were between 50 and 80 years of age, and every subject must be willing to cooperate and have signed a written informed consent. Normal healthy controls needed an MMSE score between 28 and 30 (30 being the highest possible score) and should not experience subjective memory complaints. MCI subjects needed a diagnosis of MCI </w:t>
      </w:r>
      <w:hyperlink r:id="rId29">
        <w:r w:rsidDel="00000000" w:rsidR="00000000" w:rsidRPr="00000000">
          <w:rPr>
            <w:rFonts w:ascii="Times New Roman" w:cs="Times New Roman" w:eastAsia="Times New Roman" w:hAnsi="Times New Roman"/>
            <w:b w:val="0"/>
            <w:color w:val="000000"/>
            <w:u w:val="none"/>
            <w:rtl w:val="0"/>
          </w:rPr>
          <w:t xml:space="preserve">(21)</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which consists of a concern regarding a change in cognition, impairment in one or more cognitive domains, and the preservation of independence in functional abilities. AD subjects needed a diagnosis of probable AD </w:t>
      </w:r>
      <w:hyperlink r:id="rId30">
        <w:r w:rsidDel="00000000" w:rsidR="00000000" w:rsidRPr="00000000">
          <w:rPr>
            <w:rFonts w:ascii="Times New Roman" w:cs="Times New Roman" w:eastAsia="Times New Roman" w:hAnsi="Times New Roman"/>
            <w:b w:val="0"/>
            <w:color w:val="000000"/>
            <w:u w:val="none"/>
            <w:rtl w:val="0"/>
          </w:rPr>
          <w:t xml:space="preserve">(22)</w:t>
        </w:r>
      </w:hyperlink>
      <w:r w:rsidDel="00000000" w:rsidR="00000000" w:rsidRPr="00000000">
        <w:rPr>
          <w:rFonts w:ascii="Times New Roman" w:cs="Times New Roman" w:eastAsia="Times New Roman" w:hAnsi="Times New Roman"/>
          <w:rtl w:val="0"/>
        </w:rPr>
        <w:t xml:space="preserve"> which consists of an impairment of a minimum of two domains,  a significant decline from previous levels of cognitive functioning, gradual onset and history of worsening of condition by report or observation, and interference with daily activities and work.</w:t>
      </w:r>
    </w:p>
    <w:p w:rsidR="00000000" w:rsidDel="00000000" w:rsidP="00000000" w:rsidRDefault="00000000" w:rsidRPr="00000000">
      <w:pPr>
        <w:pStyle w:val="Heading5"/>
        <w:widowControl w:val="0"/>
        <w:pBdr/>
        <w:spacing w:line="276" w:lineRule="auto"/>
        <w:contextualSpacing w:val="0"/>
        <w:jc w:val="both"/>
        <w:rPr>
          <w:rFonts w:ascii="Times New Roman" w:cs="Times New Roman" w:eastAsia="Times New Roman" w:hAnsi="Times New Roman"/>
        </w:rPr>
      </w:pPr>
      <w:bookmarkStart w:colFirst="0" w:colLast="0" w:name="_h58smyfd1t63" w:id="7"/>
      <w:bookmarkEnd w:id="7"/>
      <w:r w:rsidDel="00000000" w:rsidR="00000000" w:rsidRPr="00000000">
        <w:rPr>
          <w:rFonts w:ascii="Times New Roman" w:cs="Times New Roman" w:eastAsia="Times New Roman" w:hAnsi="Times New Roman"/>
          <w:rtl w:val="0"/>
        </w:rPr>
        <w:t xml:space="preserve">Exclusion Criteria</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subject was excluded from this study if they had a history of major psychiatric illness, medications which could affect outcomes, cerebrovascular disease with cortical </w:t>
      </w:r>
      <w:r w:rsidDel="00000000" w:rsidR="00000000" w:rsidRPr="00000000">
        <w:rPr>
          <w:rFonts w:ascii="Times New Roman" w:cs="Times New Roman" w:eastAsia="Times New Roman" w:hAnsi="Times New Roman"/>
          <w:rtl w:val="0"/>
        </w:rPr>
        <w:t xml:space="preserve">infa</w:t>
      </w:r>
      <w:r w:rsidDel="00000000" w:rsidR="00000000" w:rsidRPr="00000000">
        <w:rPr>
          <w:rFonts w:ascii="Times New Roman" w:cs="Times New Roman" w:eastAsia="Times New Roman" w:hAnsi="Times New Roman"/>
          <w:rtl w:val="0"/>
        </w:rPr>
        <w:t xml:space="preserve">rcts of a Fazekas-score of 2 or higher, pregnancy, and mental incompetence to provide written informed consent. Normal healthy controls must not show abnormal results on neuropsychological tests or suffer from subjective memory complaints. MCI subjects should not have a diagnosis of dementia assessed by clinician and neuropsychologist. The cognitive deficits of AD subjects should not be explained by non-neurodegenerative conditions such as stroke, neoplasm, head injury, hydrocephalus, or other medical condition.</w:t>
      </w:r>
    </w:p>
    <w:p w:rsidR="00000000" w:rsidDel="00000000" w:rsidP="00000000" w:rsidRDefault="00000000" w:rsidRPr="00000000">
      <w:pPr>
        <w:pStyle w:val="Heading5"/>
        <w:widowControl w:val="0"/>
        <w:pBdr/>
        <w:spacing w:line="276" w:lineRule="auto"/>
        <w:contextualSpacing w:val="0"/>
        <w:jc w:val="both"/>
        <w:rPr>
          <w:rFonts w:ascii="Times New Roman" w:cs="Times New Roman" w:eastAsia="Times New Roman" w:hAnsi="Times New Roman"/>
        </w:rPr>
      </w:pPr>
      <w:bookmarkStart w:colFirst="0" w:colLast="0" w:name="_4d34og8" w:id="8"/>
      <w:bookmarkEnd w:id="8"/>
      <w:r w:rsidDel="00000000" w:rsidR="00000000" w:rsidRPr="00000000">
        <w:rPr>
          <w:rFonts w:ascii="Times New Roman" w:cs="Times New Roman" w:eastAsia="Times New Roman" w:hAnsi="Times New Roman"/>
          <w:rtl w:val="0"/>
        </w:rPr>
        <w:t xml:space="preserve">Patient Anonymity</w:t>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To protect the privacy of each subject participating in this research, each subject was given an anonymous code and personally</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identifiable information was removed from the data set. All data was saved in a secure location with limited access. </w:t>
      </w:r>
    </w:p>
    <w:p w:rsidR="00000000" w:rsidDel="00000000" w:rsidP="00000000" w:rsidRDefault="00000000" w:rsidRPr="00000000">
      <w:pPr>
        <w:pStyle w:val="Heading5"/>
        <w:widowControl w:val="0"/>
        <w:pBdr/>
        <w:spacing w:line="276" w:lineRule="auto"/>
        <w:contextualSpacing w:val="0"/>
        <w:jc w:val="both"/>
        <w:rPr>
          <w:rFonts w:ascii="Times New Roman" w:cs="Times New Roman" w:eastAsia="Times New Roman" w:hAnsi="Times New Roman"/>
        </w:rPr>
      </w:pPr>
      <w:bookmarkStart w:colFirst="0" w:colLast="0" w:name="_8647eby7e8hy" w:id="9"/>
      <w:bookmarkEnd w:id="9"/>
      <w:r w:rsidDel="00000000" w:rsidR="00000000" w:rsidRPr="00000000">
        <w:rPr>
          <w:rFonts w:ascii="Times New Roman" w:cs="Times New Roman" w:eastAsia="Times New Roman" w:hAnsi="Times New Roman"/>
          <w:rtl w:val="0"/>
        </w:rPr>
        <w:t xml:space="preserve">PET scans: Tracers</w:t>
      </w: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subjects underwent two PET scans on the same day with a PET protocol with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and subsequently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PET. PET scans were performed using a Siemens Biograph mCT integrated PET/CT scanner in 3-dimensional acquisition mode. </w:t>
      </w:r>
      <w:r w:rsidDel="00000000" w:rsidR="00000000" w:rsidRPr="00000000">
        <w:rPr>
          <w:rFonts w:ascii="Times New Roman" w:cs="Times New Roman" w:eastAsia="Times New Roman" w:hAnsi="Times New Roman"/>
          <w:rtl w:val="0"/>
        </w:rPr>
        <w:t xml:space="preserve">Subjects received a venous cannula for tracer injection. All subjects underwent PET scans under standard resting condition with eyes closed. Both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and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radiotracers were manufactured at the radiopharmacy facility of the nuclear medicine and molecular imaging department of the UMCG and synthesized according to the GMP (Good Manufacturing Procedure) and administered via venous cannula. </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PET scan was performed for a specific time interval starting at the time of tracer injection of </w:t>
      </w:r>
      <w:r w:rsidDel="00000000" w:rsidR="00000000" w:rsidRPr="00000000">
        <w:rPr>
          <w:rFonts w:ascii="Times New Roman" w:cs="Times New Roman" w:eastAsia="Times New Roman" w:hAnsi="Times New Roman"/>
          <w:rtl w:val="0"/>
        </w:rPr>
        <w:t xml:space="preserve">about </w:t>
      </w:r>
      <w:r w:rsidDel="00000000" w:rsidR="00000000" w:rsidRPr="00000000">
        <w:rPr>
          <w:rFonts w:ascii="Times New Roman" w:cs="Times New Roman" w:eastAsia="Times New Roman" w:hAnsi="Times New Roman"/>
          <w:rtl w:val="0"/>
        </w:rPr>
        <w:t xml:space="preserve">400 MBq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Static scan data was generated by using the PET data of the </w:t>
      </w:r>
      <w:r w:rsidDel="00000000" w:rsidR="00000000" w:rsidRPr="00000000">
        <w:rPr>
          <w:rFonts w:ascii="Times New Roman" w:cs="Times New Roman" w:eastAsia="Times New Roman" w:hAnsi="Times New Roman"/>
          <w:rtl w:val="0"/>
        </w:rPr>
        <w:t xml:space="preserve">last 20 minutes</w:t>
      </w:r>
      <w:r w:rsidDel="00000000" w:rsidR="00000000" w:rsidRPr="00000000">
        <w:rPr>
          <w:rFonts w:ascii="Times New Roman" w:cs="Times New Roman" w:eastAsia="Times New Roman" w:hAnsi="Times New Roman"/>
          <w:rtl w:val="0"/>
        </w:rPr>
        <w:t xml:space="preserve"> of a 60 minute scan (40-60 minutes). The dynamic scan in 3D mode consists of different time frames covering the total scanning time with gradually increasing frame time towards the end of the scan, starting simultaneously with the </w:t>
      </w:r>
      <w:r w:rsidDel="00000000" w:rsidR="00000000" w:rsidRPr="00000000">
        <w:rPr>
          <w:rFonts w:ascii="Times New Roman" w:cs="Times New Roman" w:eastAsia="Times New Roman" w:hAnsi="Times New Roman"/>
          <w:rtl w:val="0"/>
        </w:rPr>
        <w:t xml:space="preserve">i.v. </w:t>
      </w:r>
      <w:r w:rsidDel="00000000" w:rsidR="00000000" w:rsidRPr="00000000">
        <w:rPr>
          <w:rFonts w:ascii="Times New Roman" w:cs="Times New Roman" w:eastAsia="Times New Roman" w:hAnsi="Times New Roman"/>
          <w:rtl w:val="0"/>
        </w:rPr>
        <w:t xml:space="preserve">injection. </w:t>
      </w:r>
    </w:p>
    <w:p w:rsidR="00000000" w:rsidDel="00000000" w:rsidP="00000000" w:rsidRDefault="00000000" w:rsidRPr="00000000">
      <w:pPr>
        <w:widowControl w:val="0"/>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Static 5 min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PET data was acquired starting 30 minutes after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injection of 200 MBq and at least 90 minutes after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rtl w:val="0"/>
        </w:rPr>
        <w:t xml:space="preserve">PiB injection (&gt; 4 times</w:t>
      </w:r>
      <w:r w:rsidDel="00000000" w:rsidR="00000000" w:rsidRPr="00000000">
        <w:rPr>
          <w:rFonts w:ascii="Times New Roman" w:cs="Times New Roman" w:eastAsia="Times New Roman" w:hAnsi="Times New Roman"/>
          <w:rtl w:val="0"/>
        </w:rPr>
        <w:t xml:space="preserve"> the</w:t>
      </w:r>
      <w:r w:rsidDel="00000000" w:rsidR="00000000" w:rsidRPr="00000000">
        <w:rPr>
          <w:rFonts w:ascii="Times New Roman" w:cs="Times New Roman" w:eastAsia="Times New Roman" w:hAnsi="Times New Roman"/>
          <w:rtl w:val="0"/>
        </w:rPr>
        <w:t xml:space="preserve"> physical half</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life of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 which is 20 minut</w:t>
      </w:r>
      <w:r w:rsidDel="00000000" w:rsidR="00000000" w:rsidRPr="00000000">
        <w:rPr>
          <w:rFonts w:ascii="Times New Roman" w:cs="Times New Roman" w:eastAsia="Times New Roman" w:hAnsi="Times New Roman"/>
          <w:rtl w:val="0"/>
        </w:rPr>
        <w:t xml:space="preserve">es). This timing provides the optimal imaging time point for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brain PET while minimal residual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activity will be detected due to physical decay. </w:t>
      </w:r>
    </w:p>
    <w:p w:rsidR="00000000" w:rsidDel="00000000" w:rsidP="00000000" w:rsidRDefault="00000000" w:rsidRPr="00000000">
      <w:pPr>
        <w:pStyle w:val="Heading5"/>
        <w:pBdr/>
        <w:contextualSpacing w:val="0"/>
        <w:rPr>
          <w:rFonts w:ascii="Times New Roman" w:cs="Times New Roman" w:eastAsia="Times New Roman" w:hAnsi="Times New Roman"/>
        </w:rPr>
      </w:pPr>
      <w:bookmarkStart w:colFirst="0" w:colLast="0" w:name="_3rdcrjn" w:id="10"/>
      <w:bookmarkEnd w:id="10"/>
      <w:r w:rsidDel="00000000" w:rsidR="00000000" w:rsidRPr="00000000">
        <w:rPr>
          <w:rFonts w:ascii="Times New Roman" w:cs="Times New Roman" w:eastAsia="Times New Roman" w:hAnsi="Times New Roman"/>
          <w:rtl w:val="0"/>
        </w:rPr>
        <w:t xml:space="preserve">Visual assessment of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positivity</w:t>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PET scan images </w:t>
      </w:r>
      <w:r w:rsidDel="00000000" w:rsidR="00000000" w:rsidRPr="00000000">
        <w:rPr>
          <w:rFonts w:ascii="Times New Roman" w:cs="Times New Roman" w:eastAsia="Times New Roman" w:hAnsi="Times New Roman"/>
          <w:rtl w:val="0"/>
        </w:rPr>
        <w:t xml:space="preserve">were be visually assessed for increased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signal</w:t>
      </w:r>
      <w:r w:rsidDel="00000000" w:rsidR="00000000" w:rsidRPr="00000000">
        <w:rPr>
          <w:rFonts w:ascii="Times New Roman" w:cs="Times New Roman" w:eastAsia="Times New Roman" w:hAnsi="Times New Roman"/>
          <w:rtl w:val="0"/>
        </w:rPr>
        <w:t xml:space="preserve"> by a multidisciplinary meeting of medical professionals. As shown in Figure 1, those that show extensive cortical and subcortical uptake of the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tracer are assessed as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positive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w:t>
      </w:r>
      <w:hyperlink r:id="rId31">
        <w:r w:rsidDel="00000000" w:rsidR="00000000" w:rsidRPr="00000000">
          <w:rPr>
            <w:rFonts w:ascii="Times New Roman" w:cs="Times New Roman" w:eastAsia="Times New Roman" w:hAnsi="Times New Roman"/>
            <w:b w:val="0"/>
            <w:color w:val="000000"/>
            <w:u w:val="none"/>
            <w:rtl w:val="0"/>
          </w:rPr>
          <w:t xml:space="preserve">(23)</w:t>
        </w:r>
      </w:hyperlink>
      <w:r w:rsidDel="00000000" w:rsidR="00000000" w:rsidRPr="00000000">
        <w:rPr>
          <w:rFonts w:ascii="Times New Roman" w:cs="Times New Roman" w:eastAsia="Times New Roman" w:hAnsi="Times New Roman"/>
          <w:rtl w:val="0"/>
        </w:rPr>
        <w:t xml:space="preserve">, while those that show minimal or no cortical uptake are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negative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drawing>
          <wp:inline distB="114300" distT="114300" distL="114300" distR="114300">
            <wp:extent cx="3309938" cy="2527589"/>
            <wp:effectExtent b="0" l="0" r="0" t="0"/>
            <wp:docPr id="2"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3309938" cy="252758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Figure 1 </w:t>
      </w:r>
      <w:hyperlink r:id="rId33">
        <w:r w:rsidDel="00000000" w:rsidR="00000000" w:rsidRPr="00000000">
          <w:rPr>
            <w:rFonts w:ascii="Times New Roman" w:cs="Times New Roman" w:eastAsia="Times New Roman" w:hAnsi="Times New Roman"/>
            <w:b w:val="0"/>
            <w:color w:val="000000"/>
            <w:u w:val="none"/>
            <w:rtl w:val="0"/>
          </w:rPr>
          <w:t xml:space="preserve">(23)</w:t>
        </w:r>
      </w:hyperlink>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Visual assessment of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uptake -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PET image shows extensive cortical and subcortical uptake in AD subject  and is classified and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C-PiB+(bottom), while the HC subject (top) shows minimal white matter uptake of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and is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(red=greatest uptake of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w:t>
      </w:r>
    </w:p>
    <w:p w:rsidR="00000000" w:rsidDel="00000000" w:rsidP="00000000" w:rsidRDefault="00000000" w:rsidRPr="00000000">
      <w:pPr>
        <w:pStyle w:val="Heading5"/>
        <w:widowControl w:val="0"/>
        <w:pBdr/>
        <w:spacing w:line="276" w:lineRule="auto"/>
        <w:contextualSpacing w:val="0"/>
        <w:jc w:val="both"/>
        <w:rPr>
          <w:rFonts w:ascii="Times New Roman" w:cs="Times New Roman" w:eastAsia="Times New Roman" w:hAnsi="Times New Roman"/>
        </w:rPr>
      </w:pPr>
      <w:bookmarkStart w:colFirst="0" w:colLast="0" w:name="_26in1rg" w:id="11"/>
      <w:bookmarkEnd w:id="11"/>
      <w:r w:rsidDel="00000000" w:rsidR="00000000" w:rsidRPr="00000000">
        <w:rPr>
          <w:rFonts w:ascii="Times New Roman" w:cs="Times New Roman" w:eastAsia="Times New Roman" w:hAnsi="Times New Roman"/>
          <w:rtl w:val="0"/>
        </w:rPr>
        <w:t xml:space="preserve">Image Processing</w:t>
      </w:r>
    </w:p>
    <w:p w:rsidR="00000000" w:rsidDel="00000000" w:rsidP="00000000" w:rsidRDefault="00000000" w:rsidRPr="00000000">
      <w:pPr>
        <w:widowControl w:val="0"/>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Images were processed in PMOD, a software package specifically made to process nuclear scan images (CT, MRI, PET). Each </w:t>
      </w:r>
      <w:r w:rsidDel="00000000" w:rsidR="00000000" w:rsidRPr="00000000">
        <w:rPr>
          <w:rFonts w:ascii="Times New Roman" w:cs="Times New Roman" w:eastAsia="Times New Roman" w:hAnsi="Times New Roman"/>
          <w:rtl w:val="0"/>
        </w:rPr>
        <w:t xml:space="preserve">individual </w:t>
      </w:r>
      <w:r w:rsidDel="00000000" w:rsidR="00000000" w:rsidRPr="00000000">
        <w:rPr>
          <w:rFonts w:ascii="Times New Roman" w:cs="Times New Roman" w:eastAsia="Times New Roman" w:hAnsi="Times New Roman"/>
          <w:rtl w:val="0"/>
        </w:rPr>
        <w:t xml:space="preserve">PET image </w:t>
      </w:r>
      <w:r w:rsidDel="00000000" w:rsidR="00000000" w:rsidRPr="00000000">
        <w:rPr>
          <w:rFonts w:ascii="Times New Roman" w:cs="Times New Roman" w:eastAsia="Times New Roman" w:hAnsi="Times New Roman"/>
          <w:rtl w:val="0"/>
        </w:rPr>
        <w:t xml:space="preserve">was</w:t>
      </w:r>
      <w:r w:rsidDel="00000000" w:rsidR="00000000" w:rsidRPr="00000000">
        <w:rPr>
          <w:rFonts w:ascii="Times New Roman" w:cs="Times New Roman" w:eastAsia="Times New Roman" w:hAnsi="Times New Roman"/>
          <w:rtl w:val="0"/>
        </w:rPr>
        <w:t xml:space="preserve"> matched with </w:t>
      </w:r>
      <w:r w:rsidDel="00000000" w:rsidR="00000000" w:rsidRPr="00000000">
        <w:rPr>
          <w:rFonts w:ascii="Times New Roman" w:cs="Times New Roman" w:eastAsia="Times New Roman" w:hAnsi="Times New Roman"/>
          <w:rtl w:val="0"/>
        </w:rPr>
        <w:t xml:space="preserve">its corresponding individual </w:t>
      </w:r>
      <w:r w:rsidDel="00000000" w:rsidR="00000000" w:rsidRPr="00000000">
        <w:rPr>
          <w:rFonts w:ascii="Times New Roman" w:cs="Times New Roman" w:eastAsia="Times New Roman" w:hAnsi="Times New Roman"/>
          <w:rtl w:val="0"/>
        </w:rPr>
        <w:t xml:space="preserve">MRI</w:t>
      </w:r>
      <w:r w:rsidDel="00000000" w:rsidR="00000000" w:rsidRPr="00000000">
        <w:rPr>
          <w:rFonts w:ascii="Times New Roman" w:cs="Times New Roman" w:eastAsia="Times New Roman" w:hAnsi="Times New Roman"/>
          <w:rtl w:val="0"/>
        </w:rPr>
        <w:t xml:space="preserve">, using a rigid matching registration procedure. Then, a </w:t>
      </w:r>
      <w:r w:rsidDel="00000000" w:rsidR="00000000" w:rsidRPr="00000000">
        <w:rPr>
          <w:rFonts w:ascii="Times New Roman" w:cs="Times New Roman" w:eastAsia="Times New Roman" w:hAnsi="Times New Roman"/>
          <w:rtl w:val="0"/>
        </w:rPr>
        <w:t xml:space="preserve">3 tissue probability map normalization </w:t>
      </w:r>
      <w:hyperlink r:id="rId34">
        <w:r w:rsidDel="00000000" w:rsidR="00000000" w:rsidRPr="00000000">
          <w:rPr>
            <w:rFonts w:ascii="Times New Roman" w:cs="Times New Roman" w:eastAsia="Times New Roman" w:hAnsi="Times New Roman"/>
            <w:b w:val="0"/>
            <w:color w:val="000000"/>
            <w:u w:val="none"/>
            <w:rtl w:val="0"/>
          </w:rPr>
          <w:t xml:space="preserve">(24)</w:t>
        </w:r>
      </w:hyperlink>
      <w:r w:rsidDel="00000000" w:rsidR="00000000" w:rsidRPr="00000000">
        <w:rPr>
          <w:rFonts w:ascii="Times New Roman" w:cs="Times New Roman" w:eastAsia="Times New Roman" w:hAnsi="Times New Roman"/>
          <w:rtl w:val="0"/>
        </w:rPr>
        <w:t xml:space="preserve"> of the individual MRI into the Montreal Neurological Institute (MNI) standard space was calculated, and later applied to the corresponding PET image.</w:t>
      </w:r>
      <w:r w:rsidDel="00000000" w:rsidR="00000000" w:rsidRPr="00000000">
        <w:rPr>
          <w:rFonts w:ascii="Times New Roman" w:cs="Times New Roman" w:eastAsia="Times New Roman" w:hAnsi="Times New Roman"/>
          <w:rtl w:val="0"/>
        </w:rPr>
        <w:t xml:space="preserve"> This way the PET images could be moved into ATLAS space, placing all images in a space where the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 can be compared between patients.</w:t>
      </w:r>
      <w:r w:rsidDel="00000000" w:rsidR="00000000" w:rsidRPr="00000000">
        <w:rPr>
          <w:rtl w:val="0"/>
        </w:rPr>
      </w:r>
    </w:p>
    <w:p w:rsidR="00000000" w:rsidDel="00000000" w:rsidP="00000000" w:rsidRDefault="00000000" w:rsidRPr="00000000">
      <w:pPr>
        <w:widowControl w:val="0"/>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Standardized uptake value ratio (SUVr)  images were generated using the static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PET data (40-60 minutes) and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PET data, considering the cerebellum as reference.</w:t>
      </w:r>
      <w:r w:rsidDel="00000000" w:rsidR="00000000" w:rsidRPr="00000000">
        <w:rPr>
          <w:rtl w:val="0"/>
        </w:rPr>
      </w:r>
    </w:p>
    <w:p w:rsidR="00000000" w:rsidDel="00000000" w:rsidP="00000000" w:rsidRDefault="00000000" w:rsidRPr="00000000">
      <w:pPr>
        <w:pStyle w:val="Heading5"/>
        <w:widowControl w:val="0"/>
        <w:pBdr/>
        <w:spacing w:line="276" w:lineRule="auto"/>
        <w:contextualSpacing w:val="0"/>
        <w:jc w:val="both"/>
        <w:rPr>
          <w:rFonts w:ascii="Times New Roman" w:cs="Times New Roman" w:eastAsia="Times New Roman" w:hAnsi="Times New Roman"/>
        </w:rPr>
      </w:pPr>
      <w:bookmarkStart w:colFirst="0" w:colLast="0" w:name="_lnxbz9" w:id="12"/>
      <w:bookmarkEnd w:id="12"/>
      <w:r w:rsidDel="00000000" w:rsidR="00000000" w:rsidRPr="00000000">
        <w:rPr>
          <w:rFonts w:ascii="Times New Roman" w:cs="Times New Roman" w:eastAsia="Times New Roman" w:hAnsi="Times New Roman"/>
          <w:rtl w:val="0"/>
        </w:rPr>
        <w:t xml:space="preserve">Analysis</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tl w:val="0"/>
        </w:rPr>
        <w:t xml:space="preserve">Correlations between age, MMSE score, and CSF values </w:t>
      </w:r>
      <w:r w:rsidDel="00000000" w:rsidR="00000000" w:rsidRPr="00000000">
        <w:rPr>
          <w:rFonts w:ascii="Times New Roman" w:cs="Times New Roman" w:eastAsia="Times New Roman" w:hAnsi="Times New Roman"/>
          <w:rtl w:val="0"/>
        </w:rPr>
        <w:t xml:space="preserve">were assessed to see if they were confounding factors using bivariate </w:t>
      </w:r>
      <w:r w:rsidDel="00000000" w:rsidR="00000000" w:rsidRPr="00000000">
        <w:rPr>
          <w:rFonts w:ascii="Times New Roman" w:cs="Times New Roman" w:eastAsia="Times New Roman" w:hAnsi="Times New Roman"/>
          <w:rtl w:val="0"/>
        </w:rPr>
        <w:t xml:space="preserve">Pearson correlation coefficient </w:t>
      </w:r>
      <w:r w:rsidDel="00000000" w:rsidR="00000000" w:rsidRPr="00000000">
        <w:rPr>
          <w:rFonts w:ascii="Times New Roman" w:cs="Times New Roman" w:eastAsia="Times New Roman" w:hAnsi="Times New Roman"/>
          <w:rtl w:val="0"/>
        </w:rPr>
        <w:t xml:space="preserve">with a statistical significance of p&lt;0.05. </w:t>
      </w:r>
    </w:p>
    <w:p w:rsidR="00000000" w:rsidDel="00000000" w:rsidP="00000000" w:rsidRDefault="00000000" w:rsidRPr="00000000">
      <w:pPr>
        <w:widowControl w:val="0"/>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SUV ratio images </w:t>
      </w:r>
      <w:r w:rsidDel="00000000" w:rsidR="00000000" w:rsidRPr="00000000">
        <w:rPr>
          <w:rFonts w:ascii="Times New Roman" w:cs="Times New Roman" w:eastAsia="Times New Roman" w:hAnsi="Times New Roman"/>
          <w:rtl w:val="0"/>
        </w:rPr>
        <w:t xml:space="preserve">will be used in Statistical Parametric Mapping (SPM). SPM is a statistical technique for examining differences in brain activity recorded during functional neuroimaging such as PET. The programme uses voxels. Each voxel typically represents the activity of a particular coordinate in three-dimensional space. Voxel-based morphometry registers every brain to a template, which gets rid of most of the large differences in brain anatomy among people. Finally, the image volume is compared across brains at every voxel. </w:t>
      </w:r>
      <w:r w:rsidDel="00000000" w:rsidR="00000000" w:rsidRPr="00000000">
        <w:rPr>
          <w:rFonts w:ascii="Times New Roman" w:cs="Times New Roman" w:eastAsia="Times New Roman" w:hAnsi="Times New Roman"/>
          <w:rtl w:val="0"/>
        </w:rPr>
        <w:t xml:space="preserve">Analysis of variance (</w:t>
      </w:r>
      <w:r w:rsidDel="00000000" w:rsidR="00000000" w:rsidRPr="00000000">
        <w:rPr>
          <w:rFonts w:ascii="Times New Roman" w:cs="Times New Roman" w:eastAsia="Times New Roman" w:hAnsi="Times New Roman"/>
          <w:rtl w:val="0"/>
        </w:rPr>
        <w:t xml:space="preserve">ANOVA</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was </w:t>
      </w:r>
      <w:r w:rsidDel="00000000" w:rsidR="00000000" w:rsidRPr="00000000">
        <w:rPr>
          <w:rFonts w:ascii="Times New Roman" w:cs="Times New Roman" w:eastAsia="Times New Roman" w:hAnsi="Times New Roman"/>
          <w:rtl w:val="0"/>
        </w:rPr>
        <w:t xml:space="preserve">used to establish whether there </w:t>
      </w:r>
      <w:r w:rsidDel="00000000" w:rsidR="00000000" w:rsidRPr="00000000">
        <w:rPr>
          <w:rFonts w:ascii="Times New Roman" w:cs="Times New Roman" w:eastAsia="Times New Roman" w:hAnsi="Times New Roman"/>
          <w:rtl w:val="0"/>
        </w:rPr>
        <w:t xml:space="preserve">were group differences </w:t>
      </w:r>
      <w:r w:rsidDel="00000000" w:rsidR="00000000" w:rsidRPr="00000000">
        <w:rPr>
          <w:rFonts w:ascii="Times New Roman" w:cs="Times New Roman" w:eastAsia="Times New Roman" w:hAnsi="Times New Roman"/>
          <w:rtl w:val="0"/>
        </w:rPr>
        <w:t xml:space="preserve">between AD, MCI, and HC</w:t>
      </w:r>
      <w:r w:rsidDel="00000000" w:rsidR="00000000" w:rsidRPr="00000000">
        <w:rPr>
          <w:rFonts w:ascii="Times New Roman" w:cs="Times New Roman" w:eastAsia="Times New Roman" w:hAnsi="Times New Roman"/>
          <w:rtl w:val="0"/>
        </w:rPr>
        <w:t xml:space="preserve"> subject groups</w:t>
      </w:r>
      <w:r w:rsidDel="00000000" w:rsidR="00000000" w:rsidRPr="00000000">
        <w:rPr>
          <w:rFonts w:ascii="Times New Roman" w:cs="Times New Roman" w:eastAsia="Times New Roman" w:hAnsi="Times New Roman"/>
          <w:rtl w:val="0"/>
        </w:rPr>
        <w:t xml:space="preserve">. If variance is found, two-sample t-tests were performed to determine the variance between HC &amp; AD, HC &amp; MCI, and AD &amp; MCI for both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and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scans. </w:t>
      </w:r>
      <w:r w:rsidDel="00000000" w:rsidR="00000000" w:rsidRPr="00000000">
        <w:rPr>
          <w:rFonts w:ascii="Times New Roman" w:cs="Times New Roman" w:eastAsia="Times New Roman" w:hAnsi="Times New Roman"/>
          <w:rtl w:val="0"/>
        </w:rPr>
        <w:t xml:space="preserve">PET data was</w:t>
      </w:r>
      <w:r w:rsidDel="00000000" w:rsidR="00000000" w:rsidRPr="00000000">
        <w:rPr>
          <w:rFonts w:ascii="Times New Roman" w:cs="Times New Roman" w:eastAsia="Times New Roman" w:hAnsi="Times New Roman"/>
          <w:rtl w:val="0"/>
        </w:rPr>
        <w:t xml:space="preserve"> also divided into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groups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rtl w:val="0"/>
        </w:rPr>
        <w:t xml:space="preserve">explored in SPM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For interpretation of the results, T-maps data were interrogated at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=0.001 (uncorrected) and only clusters with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&lt;0.05 corrected for familywise error were considered significant.</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pPr>
        <w:widowControl w:val="0"/>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clinical measurements </w:t>
      </w:r>
      <w:r w:rsidDel="00000000" w:rsidR="00000000" w:rsidRPr="00000000">
        <w:rPr>
          <w:rFonts w:ascii="Times New Roman" w:cs="Times New Roman" w:eastAsia="Times New Roman" w:hAnsi="Times New Roman"/>
          <w:rtl w:val="0"/>
        </w:rPr>
        <w:t xml:space="preserve">were tested for correlation with PET data by using </w:t>
      </w: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rtl w:val="0"/>
        </w:rPr>
        <w:t xml:space="preserve">multiple regression</w:t>
      </w:r>
      <w:r w:rsidDel="00000000" w:rsidR="00000000" w:rsidRPr="00000000">
        <w:rPr>
          <w:rFonts w:ascii="Times New Roman" w:cs="Times New Roman" w:eastAsia="Times New Roman" w:hAnsi="Times New Roman"/>
          <w:rtl w:val="0"/>
        </w:rPr>
        <w:t xml:space="preserve"> model</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Cardo" w:cs="Cardo" w:eastAsia="Cardo" w:hAnsi="Cardo"/>
          <w:rtl w:val="0"/>
        </w:rPr>
        <w:t xml:space="preserve">This was done to understand more about the relationship between several independent variables (age, MMSE score, ꞵ-amyloid, t-tau, p-tau) and the PET data. </w:t>
      </w:r>
      <w:r w:rsidDel="00000000" w:rsidR="00000000" w:rsidRPr="00000000">
        <w:rPr>
          <w:rtl w:val="0"/>
        </w:rPr>
      </w:r>
    </w:p>
    <w:p w:rsidR="00000000" w:rsidDel="00000000" w:rsidP="00000000" w:rsidRDefault="00000000" w:rsidRPr="00000000">
      <w:pPr>
        <w:pStyle w:val="Heading3"/>
        <w:widowControl w:val="0"/>
        <w:pBdr/>
        <w:spacing w:line="276" w:lineRule="auto"/>
        <w:ind w:firstLine="720"/>
        <w:contextualSpacing w:val="0"/>
        <w:jc w:val="both"/>
        <w:rPr>
          <w:rFonts w:ascii="Times New Roman" w:cs="Times New Roman" w:eastAsia="Times New Roman" w:hAnsi="Times New Roman"/>
        </w:rPr>
      </w:pPr>
      <w:bookmarkStart w:colFirst="0" w:colLast="0" w:name="_35nkun2" w:id="13"/>
      <w:bookmarkEnd w:id="13"/>
      <w:r w:rsidDel="00000000" w:rsidR="00000000" w:rsidRPr="00000000">
        <w:rPr>
          <w:rFonts w:ascii="Times New Roman" w:cs="Times New Roman" w:eastAsia="Times New Roman" w:hAnsi="Times New Roman"/>
          <w:rtl w:val="0"/>
        </w:rPr>
        <w:t xml:space="preserve">Results</w:t>
      </w:r>
    </w:p>
    <w:p w:rsidR="00000000" w:rsidDel="00000000" w:rsidP="00000000" w:rsidRDefault="00000000" w:rsidRPr="00000000">
      <w:pPr>
        <w:pBdr/>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Subject Group Characteristics</w:t>
      </w:r>
      <w:r w:rsidDel="00000000" w:rsidR="00000000" w:rsidRPr="00000000">
        <w:rPr>
          <w:rtl w:val="0"/>
        </w:rPr>
      </w:r>
    </w:p>
    <w:tbl>
      <w:tblPr>
        <w:tblStyle w:val="Table1"/>
        <w:bidiVisual w:val="0"/>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2160"/>
        <w:gridCol w:w="2060"/>
        <w:gridCol w:w="1640"/>
        <w:tblGridChange w:id="0">
          <w:tblGrid>
            <w:gridCol w:w="3360"/>
            <w:gridCol w:w="2160"/>
            <w:gridCol w:w="2060"/>
            <w:gridCol w:w="1640"/>
          </w:tblGrid>
        </w:tblGridChange>
      </w:tblGrid>
      <w:tr>
        <w:trPr>
          <w:trHeight w:val="360" w:hRule="atLeast"/>
        </w:trPr>
        <w:tc>
          <w:tcPr>
            <w:vMerge w:val="restart"/>
            <w:tcBorders>
              <w:top w:color="666666" w:space="0" w:sz="8" w:val="single"/>
              <w:left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 (n=10)</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MCI (n=10)</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 (n=10)</w:t>
            </w:r>
          </w:p>
        </w:tc>
      </w:tr>
      <w:tr>
        <w:trPr>
          <w:trHeight w:val="360" w:hRule="atLeast"/>
        </w:trPr>
        <w:tc>
          <w:tcPr>
            <w:vMerge w:val="continue"/>
            <w:tcBorders>
              <w:left w:color="666666" w:space="0" w:sz="8" w:val="single"/>
              <w:bottom w:color="666666" w:space="0" w:sz="8" w:val="single"/>
              <w:right w:color="666666" w:space="0" w:sz="8" w:val="single"/>
            </w:tcBorders>
            <w:tcMar>
              <w:top w:w="140.0" w:type="dxa"/>
              <w:left w:w="140.0" w:type="dxa"/>
              <w:bottom w:w="140.0" w:type="dxa"/>
              <w:right w:w="140.0" w:type="dxa"/>
            </w:tcMar>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rPr>
            </w:pP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Mean (SD)</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Mean (SD)</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Mean (SD)</w:t>
            </w:r>
          </w:p>
        </w:tc>
      </w:tr>
      <w:tr>
        <w:trPr>
          <w:trHeight w:val="360" w:hRule="atLeast"/>
        </w:trPr>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66.8 (6.20)</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66.9 (5.47)</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69.1 (3.75)</w:t>
            </w:r>
          </w:p>
        </w:tc>
      </w:tr>
      <w:tr>
        <w:trPr>
          <w:trHeight w:val="300" w:hRule="atLeast"/>
        </w:trPr>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gender (F:M)</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w:t>
            </w:r>
          </w:p>
        </w:tc>
      </w:tr>
      <w:tr>
        <w:trPr>
          <w:trHeight w:val="300" w:hRule="atLeast"/>
        </w:trPr>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MMSE</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24.3 (2.91)</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27.2 (1.81)</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29.1 (1.29)</w:t>
            </w:r>
          </w:p>
        </w:tc>
      </w:tr>
      <w:tr>
        <w:trPr>
          <w:trHeight w:val="360" w:hRule="atLeast"/>
        </w:trPr>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320" w:hRule="atLeast"/>
        </w:trPr>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CSF values</w:t>
            </w:r>
            <w:r w:rsidDel="00000000" w:rsidR="00000000" w:rsidRPr="00000000">
              <w:rPr>
                <w:rtl w:val="0"/>
              </w:rPr>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(n=8)</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(n=8)</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tl w:val="0"/>
              </w:rPr>
            </w:r>
          </w:p>
        </w:tc>
      </w:tr>
      <w:tr>
        <w:trPr>
          <w:trHeight w:val="360" w:hRule="atLeast"/>
        </w:trPr>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Cardo" w:cs="Cardo" w:eastAsia="Cardo" w:hAnsi="Cardo"/>
                <w:rtl w:val="0"/>
              </w:rPr>
              <w:t xml:space="preserve">ꞵ-amyloid</w:t>
            </w:r>
            <w:r w:rsidDel="00000000" w:rsidR="00000000" w:rsidRPr="00000000">
              <w:rPr>
                <w:rFonts w:ascii="Times New Roman" w:cs="Times New Roman" w:eastAsia="Times New Roman" w:hAnsi="Times New Roman"/>
                <w:rtl w:val="0"/>
              </w:rPr>
              <w:t xml:space="preserve"> (ng/L)</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481.38 (244.04)</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578.13 (147.71)</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320" w:hRule="atLeast"/>
        </w:trPr>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t-tau (ng/L)</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733.75 (656.68)</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573.13 (302.80)</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360" w:hRule="atLeast"/>
        </w:trPr>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p-tau (ng/L)</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97.13 (61.27)</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86.13 (37.94)</w:t>
            </w:r>
          </w:p>
        </w:tc>
        <w:tc>
          <w:tcPr>
            <w:tcBorders>
              <w:top w:color="666666" w:space="0" w:sz="8" w:val="single"/>
              <w:left w:color="666666" w:space="0" w:sz="8" w:val="single"/>
              <w:bottom w:color="666666" w:space="0" w:sz="8" w:val="single"/>
              <w:right w:color="666666" w:space="0" w:sz="8" w:val="single"/>
            </w:tcBorders>
            <w:tcMar>
              <w:left w:w="40.0" w:type="dxa"/>
              <w:right w:w="40.0" w:type="dxa"/>
            </w:tcMar>
            <w:vAlign w:val="bottom"/>
          </w:tcPr>
          <w:p w:rsidR="00000000" w:rsidDel="00000000" w:rsidP="00000000" w:rsidRDefault="00000000" w:rsidRPr="00000000">
            <w:pPr>
              <w:keepNext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bl>
    <w:p w:rsidR="00000000" w:rsidDel="00000000" w:rsidP="00000000" w:rsidRDefault="00000000" w:rsidRPr="00000000">
      <w:pPr>
        <w:pBdr/>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Table 1</w:t>
      </w:r>
      <w:r w:rsidDel="00000000" w:rsidR="00000000" w:rsidRPr="00000000">
        <w:rPr>
          <w:rFonts w:ascii="Times New Roman" w:cs="Times New Roman" w:eastAsia="Times New Roman" w:hAnsi="Times New Roman"/>
          <w:rtl w:val="0"/>
        </w:rPr>
        <w:t xml:space="preserve">: Patient Group Characteristics</w:t>
      </w:r>
      <w:r w:rsidDel="00000000" w:rsidR="00000000" w:rsidRPr="00000000">
        <w:rPr>
          <w:rFonts w:ascii="Times New Roman" w:cs="Times New Roman" w:eastAsia="Times New Roman" w:hAnsi="Times New Roman"/>
          <w:rtl w:val="0"/>
        </w:rPr>
        <w:t xml:space="preserve"> - </w:t>
      </w:r>
      <w:r w:rsidDel="00000000" w:rsidR="00000000" w:rsidRPr="00000000">
        <w:rPr>
          <w:rFonts w:ascii="Cardo" w:cs="Cardo" w:eastAsia="Cardo" w:hAnsi="Cardo"/>
          <w:sz w:val="20"/>
          <w:szCs w:val="20"/>
          <w:rtl w:val="0"/>
        </w:rPr>
        <w:t xml:space="preserve">This table shows the average values (Mean) and standard deviations (SD) for age, MMSE score, ꞵ-amyloid, t-tau, and p-tau. Also included is the division of gender and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positivity.</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subject group consists of 10 patients. The mean age for AD, MCI, and HC are 66.8 (6.20), 66.9 (5.47), and 69.1 (3.75) respectively. Both the AD and MCI group consist of 3 females and 7 males, while HC has 4 females and 6 males. The average MMSE score is 24.3 (2.91) for AD, 27.2 (1.81) for MCI, and 29.1 (1.29) for HC. </w:t>
      </w:r>
      <w:r w:rsidDel="00000000" w:rsidR="00000000" w:rsidRPr="00000000">
        <w:rPr>
          <w:rFonts w:ascii="Times New Roman" w:cs="Times New Roman" w:eastAsia="Times New Roman" w:hAnsi="Times New Roman"/>
          <w:rtl w:val="0"/>
        </w:rPr>
        <w:t xml:space="preserve">AD consists of 8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positive patients and 2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negative patients, MCI 7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positive and 3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negative, while HC consisted of only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negative patients</w:t>
      </w:r>
      <w:r w:rsidDel="00000000" w:rsidR="00000000" w:rsidRPr="00000000">
        <w:rPr>
          <w:rFonts w:ascii="Cardo" w:cs="Cardo" w:eastAsia="Cardo" w:hAnsi="Cardo"/>
          <w:rtl w:val="0"/>
        </w:rPr>
        <w:t xml:space="preserve">. CSF values were only available for 16 patients, 8 AD and 8 MCI. AD patients showed an average ꞵ-amyloid of 481.38 ng/L (244.04), t-tau was 733.75 ng/L (656.68), and p-tau 97.13 ng/L (61.27). MCI patients showed ꞵ-amyloid, t-tau, and p-tau values of 578.13 ng/L (147.71), 573.13 ng/L (302.80), and 86.13 ng/L (37.94).</w:t>
      </w:r>
    </w:p>
    <w:p w:rsidR="00000000" w:rsidDel="00000000" w:rsidP="00000000" w:rsidRDefault="00000000" w:rsidRPr="00000000">
      <w:pPr>
        <w:pBdr/>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Cardo" w:cs="Cardo" w:eastAsia="Cardo" w:hAnsi="Cardo"/>
          <w:rtl w:val="0"/>
        </w:rPr>
        <w:tab/>
        <w:t xml:space="preserve">The correlation was calculated for age, MMSE, ꞵ-amyloid, t-tau, and p-tau to see </w:t>
      </w:r>
      <w:r w:rsidDel="00000000" w:rsidR="00000000" w:rsidRPr="00000000">
        <w:rPr>
          <w:rFonts w:ascii="Times New Roman" w:cs="Times New Roman" w:eastAsia="Times New Roman" w:hAnsi="Times New Roman"/>
          <w:rtl w:val="0"/>
        </w:rPr>
        <w:t xml:space="preserve">how much one variable could explain the variation in another</w:t>
      </w:r>
      <w:r w:rsidDel="00000000" w:rsidR="00000000" w:rsidRPr="00000000">
        <w:rPr>
          <w:rFonts w:ascii="Times New Roman" w:cs="Times New Roman" w:eastAsia="Times New Roman" w:hAnsi="Times New Roman"/>
          <w:rtl w:val="0"/>
        </w:rPr>
        <w:t xml:space="preserve"> variable.</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bl>
      <w:tblPr>
        <w:tblStyle w:val="Table2"/>
        <w:bidiVisual w:val="0"/>
        <w:tblW w:w="8910.0" w:type="dxa"/>
        <w:jc w:val="left"/>
        <w:tblInd w:w="-100.0" w:type="dxa"/>
        <w:tblBorders>
          <w:top w:color="cccccc" w:space="0" w:sz="6" w:val="single"/>
          <w:left w:color="cccccc" w:space="0" w:sz="6" w:val="single"/>
          <w:bottom w:color="000001" w:space="0" w:sz="18" w:val="single"/>
          <w:right w:color="cccccc" w:space="0" w:sz="6" w:val="single"/>
          <w:insideH w:color="000001" w:space="0" w:sz="18" w:val="single"/>
          <w:insideV w:color="cccccc" w:space="0" w:sz="6" w:val="single"/>
        </w:tblBorders>
        <w:tblLayout w:type="fixed"/>
        <w:tblLook w:val="0600"/>
      </w:tblPr>
      <w:tblGrid>
        <w:gridCol w:w="1140"/>
        <w:gridCol w:w="2010"/>
        <w:gridCol w:w="1065"/>
        <w:gridCol w:w="1200"/>
        <w:gridCol w:w="1200"/>
        <w:gridCol w:w="1200"/>
        <w:gridCol w:w="1095"/>
        <w:tblGridChange w:id="0">
          <w:tblGrid>
            <w:gridCol w:w="1140"/>
            <w:gridCol w:w="2010"/>
            <w:gridCol w:w="1065"/>
            <w:gridCol w:w="1200"/>
            <w:gridCol w:w="1200"/>
            <w:gridCol w:w="1200"/>
            <w:gridCol w:w="1095"/>
          </w:tblGrid>
        </w:tblGridChange>
      </w:tblGrid>
      <w:tr>
        <w:trPr>
          <w:trHeight w:val="320" w:hRule="atLeast"/>
        </w:trPr>
        <w:tc>
          <w:tcPr>
            <w:gridSpan w:val="2"/>
            <w:tcBorders>
              <w:top w:color="cccccc" w:space="0" w:sz="6" w:val="single"/>
              <w:left w:color="cccccc" w:space="0" w:sz="6" w:val="single"/>
              <w:bottom w:color="000001" w:space="0" w:sz="18"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000001" w:space="0" w:sz="18"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w:t>
            </w:r>
            <w:r w:rsidDel="00000000" w:rsidR="00000000" w:rsidRPr="00000000">
              <w:rPr>
                <w:rtl w:val="0"/>
              </w:rPr>
            </w:r>
          </w:p>
        </w:tc>
        <w:tc>
          <w:tcPr>
            <w:tcBorders>
              <w:top w:color="cccccc" w:space="0" w:sz="6" w:val="single"/>
              <w:left w:color="cccccc" w:space="0" w:sz="6" w:val="single"/>
              <w:bottom w:color="000001" w:space="0" w:sz="18"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MMSE</w:t>
            </w:r>
            <w:r w:rsidDel="00000000" w:rsidR="00000000" w:rsidRPr="00000000">
              <w:rPr>
                <w:rtl w:val="0"/>
              </w:rPr>
            </w:r>
          </w:p>
        </w:tc>
        <w:tc>
          <w:tcPr>
            <w:tcBorders>
              <w:top w:color="cccccc" w:space="0" w:sz="6" w:val="single"/>
              <w:left w:color="cccccc" w:space="0" w:sz="6" w:val="single"/>
              <w:bottom w:color="000001" w:space="0" w:sz="18"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bAmyloid</w:t>
            </w:r>
            <w:r w:rsidDel="00000000" w:rsidR="00000000" w:rsidRPr="00000000">
              <w:rPr>
                <w:rtl w:val="0"/>
              </w:rPr>
            </w:r>
          </w:p>
        </w:tc>
        <w:tc>
          <w:tcPr>
            <w:tcBorders>
              <w:top w:color="cccccc" w:space="0" w:sz="6" w:val="single"/>
              <w:left w:color="cccccc" w:space="0" w:sz="6" w:val="single"/>
              <w:bottom w:color="000001" w:space="0" w:sz="18"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Ttau</w:t>
            </w:r>
            <w:r w:rsidDel="00000000" w:rsidR="00000000" w:rsidRPr="00000000">
              <w:rPr>
                <w:rtl w:val="0"/>
              </w:rPr>
            </w:r>
          </w:p>
        </w:tc>
        <w:tc>
          <w:tcPr>
            <w:tcBorders>
              <w:top w:color="cccccc" w:space="0" w:sz="6" w:val="single"/>
              <w:left w:color="cccccc" w:space="0" w:sz="6" w:val="single"/>
              <w:bottom w:color="000001" w:space="0" w:sz="18"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Ptau</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Pearson Correlation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r>
      <w:tr>
        <w:trPr>
          <w:trHeight w:val="300" w:hRule="atLeast"/>
        </w:trPr>
        <w:tc>
          <w:tcPr>
            <w:tcBorders>
              <w:top w:color="cccccc" w:space="0" w:sz="6" w:val="single"/>
              <w:left w:color="cccccc" w:space="0" w:sz="6" w:val="single"/>
              <w:bottom w:color="000001"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 (2-tailed)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MMSE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Pearson Correlation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-0,257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r>
      <w:tr>
        <w:trPr>
          <w:trHeight w:val="300" w:hRule="atLeast"/>
        </w:trPr>
        <w:tc>
          <w:tcPr>
            <w:tcBorders>
              <w:top w:color="cccccc" w:space="0" w:sz="6" w:val="single"/>
              <w:left w:color="cccccc" w:space="0" w:sz="6" w:val="single"/>
              <w:bottom w:color="000001"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 (2-tailed)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0,337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Cardo" w:cs="Cardo" w:eastAsia="Cardo" w:hAnsi="Cardo"/>
                <w:sz w:val="20"/>
                <w:szCs w:val="20"/>
                <w:rtl w:val="0"/>
              </w:rPr>
              <w:t xml:space="preserve">ꞵ-</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rtl w:val="0"/>
              </w:rPr>
              <w:t xml:space="preserve">myloid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Pearson Correlation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-0,048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0,505*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r>
      <w:tr>
        <w:trPr>
          <w:trHeight w:val="300" w:hRule="atLeast"/>
        </w:trPr>
        <w:tc>
          <w:tcPr>
            <w:tcBorders>
              <w:top w:color="cccccc" w:space="0" w:sz="6" w:val="single"/>
              <w:left w:color="cccccc" w:space="0" w:sz="6" w:val="single"/>
              <w:bottom w:color="000001"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 (2-tailed)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0,861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0,046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rtl w:val="0"/>
              </w:rPr>
              <w:t xml:space="preserve">tau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Pearson Correlation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0,197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-0,527*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-0,349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r>
      <w:tr>
        <w:trPr>
          <w:trHeight w:val="300" w:hRule="atLeast"/>
        </w:trPr>
        <w:tc>
          <w:tcPr>
            <w:tcBorders>
              <w:top w:color="cccccc" w:space="0" w:sz="6" w:val="single"/>
              <w:left w:color="cccccc" w:space="0" w:sz="6" w:val="single"/>
              <w:bottom w:color="000001"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 (2-tailed)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0,466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0,036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0,186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rtl w:val="0"/>
              </w:rPr>
              <w:t xml:space="preserve">tau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Pearson Correlation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-0,514*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-0,375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0,973*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r>
      <w:tr>
        <w:trPr>
          <w:trHeight w:val="300" w:hRule="atLeast"/>
        </w:trPr>
        <w:tc>
          <w:tcPr>
            <w:tcBorders>
              <w:top w:color="cccccc" w:space="0" w:sz="6" w:val="single"/>
              <w:left w:color="cccccc" w:space="0" w:sz="6" w:val="single"/>
              <w:bottom w:color="000001"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000001"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 (2-tailed)</w:t>
            </w:r>
            <w:r w:rsidDel="00000000" w:rsidR="00000000" w:rsidRPr="00000000">
              <w:rPr>
                <w:rtl w:val="0"/>
              </w:rPr>
            </w:r>
          </w:p>
        </w:tc>
        <w:tc>
          <w:tcPr>
            <w:tcBorders>
              <w:top w:color="cccccc" w:space="0" w:sz="6" w:val="single"/>
              <w:left w:color="cccccc" w:space="0" w:sz="6" w:val="single"/>
              <w:bottom w:color="000001"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0,657</w:t>
            </w:r>
            <w:r w:rsidDel="00000000" w:rsidR="00000000" w:rsidRPr="00000000">
              <w:rPr>
                <w:rtl w:val="0"/>
              </w:rPr>
            </w:r>
          </w:p>
        </w:tc>
        <w:tc>
          <w:tcPr>
            <w:tcBorders>
              <w:top w:color="cccccc" w:space="0" w:sz="6" w:val="single"/>
              <w:left w:color="cccccc" w:space="0" w:sz="6" w:val="single"/>
              <w:bottom w:color="000001"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0,042</w:t>
            </w:r>
            <w:r w:rsidDel="00000000" w:rsidR="00000000" w:rsidRPr="00000000">
              <w:rPr>
                <w:rtl w:val="0"/>
              </w:rPr>
            </w:r>
          </w:p>
        </w:tc>
        <w:tc>
          <w:tcPr>
            <w:tcBorders>
              <w:top w:color="cccccc" w:space="0" w:sz="6" w:val="single"/>
              <w:left w:color="cccccc" w:space="0" w:sz="6" w:val="single"/>
              <w:bottom w:color="000001"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0,153</w:t>
            </w:r>
            <w:r w:rsidDel="00000000" w:rsidR="00000000" w:rsidRPr="00000000">
              <w:rPr>
                <w:rtl w:val="0"/>
              </w:rPr>
            </w:r>
          </w:p>
        </w:tc>
        <w:tc>
          <w:tcPr>
            <w:tcBorders>
              <w:top w:color="cccccc" w:space="0" w:sz="6" w:val="single"/>
              <w:left w:color="cccccc" w:space="0" w:sz="6" w:val="single"/>
              <w:bottom w:color="000001" w:space="0" w:sz="6" w:val="single"/>
              <w:right w:color="cccccc" w:space="0" w:sz="6" w:val="single"/>
            </w:tcBorders>
            <w:shd w:fill="ffffff"/>
            <w:tcMar>
              <w:left w:w="32.0" w:type="dxa"/>
            </w:tcMar>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0,000</w:t>
            </w:r>
            <w:r w:rsidDel="00000000" w:rsidR="00000000" w:rsidRPr="00000000">
              <w:rPr>
                <w:rtl w:val="0"/>
              </w:rPr>
            </w:r>
          </w:p>
        </w:tc>
        <w:tc>
          <w:tcPr>
            <w:tcBorders>
              <w:top w:color="cccccc" w:space="0" w:sz="6" w:val="single"/>
              <w:left w:color="cccccc" w:space="0" w:sz="6" w:val="single"/>
              <w:bottom w:color="000001" w:space="0" w:sz="6" w:val="single"/>
              <w:right w:color="cccccc" w:space="0" w:sz="6" w:val="single"/>
            </w:tcBorders>
            <w:shd w:fill="ffffff"/>
            <w:tcMar>
              <w:left w:w="32.0" w:type="dxa"/>
            </w:tcMar>
            <w:vAlign w:val="bottom"/>
          </w:tcPr>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pPr>
        <w:pBdr/>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Table 2</w:t>
      </w:r>
      <w:r w:rsidDel="00000000" w:rsidR="00000000" w:rsidRPr="00000000">
        <w:rPr>
          <w:rFonts w:ascii="Times New Roman" w:cs="Times New Roman" w:eastAsia="Times New Roman" w:hAnsi="Times New Roman"/>
          <w:rtl w:val="0"/>
        </w:rPr>
        <w:t xml:space="preserve">: Correlations between values</w:t>
      </w:r>
      <w:r w:rsidDel="00000000" w:rsidR="00000000" w:rsidRPr="00000000">
        <w:rPr>
          <w:rFonts w:ascii="Times New Roman" w:cs="Times New Roman" w:eastAsia="Times New Roman" w:hAnsi="Times New Roman"/>
          <w:rtl w:val="0"/>
        </w:rPr>
        <w:t xml:space="preserve"> - </w:t>
      </w:r>
      <w:r w:rsidDel="00000000" w:rsidR="00000000" w:rsidRPr="00000000">
        <w:rPr>
          <w:rFonts w:ascii="Cardo" w:cs="Cardo" w:eastAsia="Cardo" w:hAnsi="Cardo"/>
          <w:sz w:val="20"/>
          <w:szCs w:val="20"/>
          <w:rtl w:val="0"/>
        </w:rPr>
        <w:t xml:space="preserve">In this table the Pearson's correlation coefficient is given for each possible correlation between age, MMSE score, ꞵ-amyloid, t-tau, and p-tau. *shows significant values.</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Table 2 shows that there is no correlation between age and other variables. However, there are moderate (0.4-0.6 Pearson's correlation coefficient) </w:t>
      </w:r>
      <w:r w:rsidDel="00000000" w:rsidR="00000000" w:rsidRPr="00000000">
        <w:rPr>
          <w:rFonts w:ascii="Times New Roman" w:cs="Times New Roman" w:eastAsia="Times New Roman" w:hAnsi="Times New Roman"/>
          <w:rtl w:val="0"/>
        </w:rPr>
        <w:t xml:space="preserve">correlations</w:t>
      </w:r>
      <w:r w:rsidDel="00000000" w:rsidR="00000000" w:rsidRPr="00000000">
        <w:rPr>
          <w:rFonts w:ascii="Cardo" w:cs="Cardo" w:eastAsia="Cardo" w:hAnsi="Cardo"/>
          <w:rtl w:val="0"/>
        </w:rPr>
        <w:t xml:space="preserve"> between MMSE and multiple variables. MMSE seems to have a positive correlation with ꞵ-amyloid and a negative correlation with t-tau and p-tau. T-tau and p-tau are highly (0.8-1.0 Pearson’s correlation coefficient) correlated with a Pearson Correlation coefficient of 0.973. These correlations are visualized in the </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rtl w:val="0"/>
        </w:rPr>
        <w:t xml:space="preserve">ppendix (App. I).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left="0" w:firstLine="0"/>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pBdr/>
        <w:ind w:left="0" w:firstLine="0"/>
        <w:contextualSpacing w:val="0"/>
        <w:jc w:val="both"/>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pPr>
        <w:pBdr/>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Variance between HC, MCI, and AD for both </w:t>
      </w:r>
      <w:r w:rsidDel="00000000" w:rsidR="00000000" w:rsidRPr="00000000">
        <w:rPr>
          <w:rFonts w:ascii="Times New Roman" w:cs="Times New Roman" w:eastAsia="Times New Roman" w:hAnsi="Times New Roman"/>
          <w:b w:val="1"/>
          <w:vertAlign w:val="superscript"/>
          <w:rtl w:val="0"/>
        </w:rPr>
        <w:t xml:space="preserve">11</w:t>
      </w:r>
      <w:r w:rsidDel="00000000" w:rsidR="00000000" w:rsidRPr="00000000">
        <w:rPr>
          <w:rFonts w:ascii="Times New Roman" w:cs="Times New Roman" w:eastAsia="Times New Roman" w:hAnsi="Times New Roman"/>
          <w:b w:val="1"/>
          <w:rtl w:val="0"/>
        </w:rPr>
        <w:t xml:space="preserve">C-PiB and </w:t>
      </w:r>
      <w:r w:rsidDel="00000000" w:rsidR="00000000" w:rsidRPr="00000000">
        <w:rPr>
          <w:rFonts w:ascii="Times New Roman" w:cs="Times New Roman" w:eastAsia="Times New Roman" w:hAnsi="Times New Roman"/>
          <w:b w:val="1"/>
          <w:vertAlign w:val="superscript"/>
          <w:rtl w:val="0"/>
        </w:rPr>
        <w:t xml:space="preserve">18</w:t>
      </w:r>
      <w:r w:rsidDel="00000000" w:rsidR="00000000" w:rsidRPr="00000000">
        <w:rPr>
          <w:rFonts w:ascii="Times New Roman" w:cs="Times New Roman" w:eastAsia="Times New Roman" w:hAnsi="Times New Roman"/>
          <w:b w:val="1"/>
          <w:rtl w:val="0"/>
        </w:rPr>
        <w:t xml:space="preserve">F-FDG</w:t>
      </w:r>
    </w:p>
    <w:p w:rsidR="00000000" w:rsidDel="00000000" w:rsidP="00000000" w:rsidRDefault="00000000" w:rsidRPr="00000000">
      <w:pPr>
        <w:pBdr/>
        <w:ind w:left="0" w:firstLine="0"/>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Analysis of Variance (ANOVA) was performed to check whether there is variance between AD, MCI, and HC. Both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scans showed variance between the subject groups, HC, MCI, and AD. This is visualized in Figure 2.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w:t>
      </w:r>
      <w:r w:rsidDel="00000000" w:rsidR="00000000" w:rsidRPr="00000000">
        <w:drawing>
          <wp:inline distB="0" distT="0" distL="0" distR="0">
            <wp:extent cx="3914775" cy="3228975"/>
            <wp:effectExtent b="0" l="0" r="0" t="0"/>
            <wp:docPr id="4" name="image11.png"/>
            <a:graphic>
              <a:graphicData uri="http://schemas.openxmlformats.org/drawingml/2006/picture">
                <pic:pic>
                  <pic:nvPicPr>
                    <pic:cNvPr id="0" name="image11.png"/>
                    <pic:cNvPicPr preferRelativeResize="0"/>
                  </pic:nvPicPr>
                  <pic:blipFill>
                    <a:blip r:embed="rId35"/>
                    <a:srcRect b="0" l="14618" r="17108" t="0"/>
                    <a:stretch>
                      <a:fillRect/>
                    </a:stretch>
                  </pic:blipFill>
                  <pic:spPr>
                    <a:xfrm>
                      <a:off x="0" y="0"/>
                      <a:ext cx="3914775" cy="32289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Figure 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Visualization of ANOVA test.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sz w:val="20"/>
          <w:szCs w:val="20"/>
          <w:rtl w:val="0"/>
        </w:rPr>
        <w:t xml:space="preserve">A</w:t>
      </w:r>
      <w:r w:rsidDel="00000000" w:rsidR="00000000" w:rsidRPr="00000000">
        <w:rPr>
          <w:rFonts w:ascii="Times New Roman" w:cs="Times New Roman" w:eastAsia="Times New Roman" w:hAnsi="Times New Roman"/>
          <w:sz w:val="20"/>
          <w:szCs w:val="20"/>
          <w:rtl w:val="0"/>
        </w:rPr>
        <w:t xml:space="preserve">: shows the results </w:t>
      </w:r>
      <w:r w:rsidDel="00000000" w:rsidR="00000000" w:rsidRPr="00000000">
        <w:rPr>
          <w:rFonts w:ascii="Times New Roman" w:cs="Times New Roman" w:eastAsia="Times New Roman" w:hAnsi="Times New Roman"/>
          <w:sz w:val="20"/>
          <w:szCs w:val="20"/>
          <w:rtl w:val="0"/>
        </w:rPr>
        <w:t xml:space="preserve">of</w:t>
      </w:r>
      <w:r w:rsidDel="00000000" w:rsidR="00000000" w:rsidRPr="00000000">
        <w:rPr>
          <w:rFonts w:ascii="Times New Roman" w:cs="Times New Roman" w:eastAsia="Times New Roman" w:hAnsi="Times New Roman"/>
          <w:sz w:val="20"/>
          <w:szCs w:val="20"/>
          <w:rtl w:val="0"/>
        </w:rPr>
        <w:t xml:space="preserve"> the </w:t>
      </w:r>
      <w:r w:rsidDel="00000000" w:rsidR="00000000" w:rsidRPr="00000000">
        <w:rPr>
          <w:rFonts w:ascii="Times New Roman" w:cs="Times New Roman" w:eastAsia="Times New Roman" w:hAnsi="Times New Roman"/>
          <w:color w:val="252525"/>
          <w:sz w:val="20"/>
          <w:szCs w:val="20"/>
          <w:highlight w:val="white"/>
          <w:vertAlign w:val="superscript"/>
          <w:rtl w:val="0"/>
        </w:rPr>
        <w:t xml:space="preserve">18</w:t>
      </w:r>
      <w:r w:rsidDel="00000000" w:rsidR="00000000" w:rsidRPr="00000000">
        <w:rPr>
          <w:rFonts w:ascii="Times New Roman" w:cs="Times New Roman" w:eastAsia="Times New Roman" w:hAnsi="Times New Roman"/>
          <w:color w:val="252525"/>
          <w:sz w:val="20"/>
          <w:szCs w:val="20"/>
          <w:highlight w:val="white"/>
          <w:rtl w:val="0"/>
        </w:rPr>
        <w:t xml:space="preserve">F-FDG</w:t>
      </w:r>
      <w:r w:rsidDel="00000000" w:rsidR="00000000" w:rsidRPr="00000000">
        <w:rPr>
          <w:rFonts w:ascii="Times New Roman" w:cs="Times New Roman" w:eastAsia="Times New Roman" w:hAnsi="Times New Roman"/>
          <w:sz w:val="20"/>
          <w:szCs w:val="20"/>
          <w:rtl w:val="0"/>
        </w:rPr>
        <w:t xml:space="preserve">. Left shows the Maximum Intensity Projection (MIP) where the gray shows voxel with the greatest variance. Right shows the overlay of the results on a standard MRI image. The red-to-yellow scale indicates the level of statistical significance of the differences in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uptake. (yellow=most significant difference) </w:t>
      </w:r>
      <w:r w:rsidDel="00000000" w:rsidR="00000000" w:rsidRPr="00000000">
        <w:rPr>
          <w:rFonts w:ascii="Times New Roman" w:cs="Times New Roman" w:eastAsia="Times New Roman" w:hAnsi="Times New Roman"/>
          <w:b w:val="1"/>
          <w:sz w:val="20"/>
          <w:szCs w:val="20"/>
          <w:rtl w:val="0"/>
        </w:rPr>
        <w:t xml:space="preserve">B</w:t>
      </w:r>
      <w:r w:rsidDel="00000000" w:rsidR="00000000" w:rsidRPr="00000000">
        <w:rPr>
          <w:rFonts w:ascii="Times New Roman" w:cs="Times New Roman" w:eastAsia="Times New Roman" w:hAnsi="Times New Roman"/>
          <w:sz w:val="20"/>
          <w:szCs w:val="20"/>
          <w:rtl w:val="0"/>
        </w:rPr>
        <w:t xml:space="preserve">: shows the results </w:t>
      </w:r>
      <w:r w:rsidDel="00000000" w:rsidR="00000000" w:rsidRPr="00000000">
        <w:rPr>
          <w:rFonts w:ascii="Times New Roman" w:cs="Times New Roman" w:eastAsia="Times New Roman" w:hAnsi="Times New Roman"/>
          <w:sz w:val="20"/>
          <w:szCs w:val="20"/>
          <w:rtl w:val="0"/>
        </w:rPr>
        <w:t xml:space="preserve">of</w:t>
      </w:r>
      <w:r w:rsidDel="00000000" w:rsidR="00000000" w:rsidRPr="00000000">
        <w:rPr>
          <w:rFonts w:ascii="Times New Roman" w:cs="Times New Roman" w:eastAsia="Times New Roman" w:hAnsi="Times New Roman"/>
          <w:sz w:val="20"/>
          <w:szCs w:val="20"/>
          <w:rtl w:val="0"/>
        </w:rPr>
        <w:t xml:space="preserve"> the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w:t>
      </w:r>
      <w:r w:rsidDel="00000000" w:rsidR="00000000" w:rsidRPr="00000000">
        <w:rPr>
          <w:rFonts w:ascii="Times New Roman" w:cs="Times New Roman" w:eastAsia="Times New Roman" w:hAnsi="Times New Roman"/>
          <w:sz w:val="20"/>
          <w:szCs w:val="20"/>
          <w:rtl w:val="0"/>
        </w:rPr>
        <w:t xml:space="preserve"> scans. Left shows the MIP where the gray shows the voxel with the greatest variance. Right shows the overlay of the results on a standard MRI image. The red-to-yellow scale indicates the level of statistical differences in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uptake. (yellow=most significant difference)</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rtl w:val="0"/>
        </w:rPr>
        <w:t xml:space="preserve">gure 2A shows that variance is present for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uptake between AD, MCI, and HC. This variance is greatest in the left temporal lobe, cuneus, and frontal lobe. Figure 2B shows variance between the three groups in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uptake. The areas that </w:t>
      </w:r>
      <w:r w:rsidDel="00000000" w:rsidR="00000000" w:rsidRPr="00000000">
        <w:rPr>
          <w:rFonts w:ascii="Times New Roman" w:cs="Times New Roman" w:eastAsia="Times New Roman" w:hAnsi="Times New Roman"/>
          <w:rtl w:val="0"/>
        </w:rPr>
        <w:t xml:space="preserve">vary</w:t>
      </w:r>
      <w:r w:rsidDel="00000000" w:rsidR="00000000" w:rsidRPr="00000000">
        <w:rPr>
          <w:rFonts w:ascii="Times New Roman" w:cs="Times New Roman" w:eastAsia="Times New Roman" w:hAnsi="Times New Roman"/>
          <w:rtl w:val="0"/>
        </w:rPr>
        <w:t xml:space="preserve"> in the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ANOVA are bilaterally the temporal, parietal, and frontal lobes, as well as the cuneus and </w:t>
      </w:r>
      <w:r w:rsidDel="00000000" w:rsidR="00000000" w:rsidRPr="00000000">
        <w:rPr>
          <w:rFonts w:ascii="Times New Roman" w:cs="Times New Roman" w:eastAsia="Times New Roman" w:hAnsi="Times New Roman"/>
          <w:rtl w:val="0"/>
        </w:rPr>
        <w:t xml:space="preserve">precuneus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 As ANOVA analysis is unable to explain which of the groups is responsible for the variance two sample t-tests were performed to compare the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scans between groups to understand more about the </w:t>
      </w:r>
      <w:r w:rsidDel="00000000" w:rsidR="00000000" w:rsidRPr="00000000">
        <w:rPr>
          <w:rFonts w:ascii="Times New Roman" w:cs="Times New Roman" w:eastAsia="Times New Roman" w:hAnsi="Times New Roman"/>
          <w:rtl w:val="0"/>
        </w:rPr>
        <w:t xml:space="preserve">variance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shows significant decrease in glucose metabolism</w:t>
      </w:r>
    </w:p>
    <w:p w:rsidR="00000000" w:rsidDel="00000000" w:rsidP="00000000" w:rsidRDefault="00000000" w:rsidRPr="00000000">
      <w:pPr>
        <w:pBdr/>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b w:val="1"/>
        </w:rPr>
      </w:pPr>
      <w:r w:rsidDel="00000000" w:rsidR="00000000" w:rsidRPr="00000000">
        <w:drawing>
          <wp:inline distB="0" distT="0" distL="0" distR="0">
            <wp:extent cx="4110355" cy="3333115"/>
            <wp:effectExtent b="0" l="0" r="0" t="0"/>
            <wp:docPr id="6" name="image13.png"/>
            <a:graphic>
              <a:graphicData uri="http://schemas.openxmlformats.org/drawingml/2006/picture">
                <pic:pic>
                  <pic:nvPicPr>
                    <pic:cNvPr id="0" name="image13.png"/>
                    <pic:cNvPicPr preferRelativeResize="0"/>
                  </pic:nvPicPr>
                  <pic:blipFill>
                    <a:blip r:embed="rId36"/>
                    <a:srcRect b="0" l="30563" r="0" t="0"/>
                    <a:stretch>
                      <a:fillRect/>
                    </a:stretch>
                  </pic:blipFill>
                  <pic:spPr>
                    <a:xfrm>
                      <a:off x="0" y="0"/>
                      <a:ext cx="4110355" cy="333311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Visualization of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comparisons.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sz w:val="20"/>
          <w:szCs w:val="20"/>
          <w:rtl w:val="0"/>
        </w:rPr>
        <w:t xml:space="preserve">A</w:t>
      </w:r>
      <w:r w:rsidDel="00000000" w:rsidR="00000000" w:rsidRPr="00000000">
        <w:rPr>
          <w:rFonts w:ascii="Times New Roman" w:cs="Times New Roman" w:eastAsia="Times New Roman" w:hAnsi="Times New Roman"/>
          <w:sz w:val="20"/>
          <w:szCs w:val="20"/>
          <w:rtl w:val="0"/>
        </w:rPr>
        <w:t xml:space="preserve">: HC versus AD. Left: the MIP shows the voxels (gray) where AD subjects show a significant decrease in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uptake. Right: the overlay of the results on a standard MRI image. The red-to-yellow scale indicates the level of statistical significance of the differences in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uptake. (yellow=most significant difference) </w:t>
      </w:r>
      <w:r w:rsidDel="00000000" w:rsidR="00000000" w:rsidRPr="00000000">
        <w:rPr>
          <w:rFonts w:ascii="Times New Roman" w:cs="Times New Roman" w:eastAsia="Times New Roman" w:hAnsi="Times New Roman"/>
          <w:b w:val="1"/>
          <w:sz w:val="20"/>
          <w:szCs w:val="20"/>
          <w:rtl w:val="0"/>
        </w:rPr>
        <w:t xml:space="preserve">B</w:t>
      </w:r>
      <w:r w:rsidDel="00000000" w:rsidR="00000000" w:rsidRPr="00000000">
        <w:rPr>
          <w:rFonts w:ascii="Times New Roman" w:cs="Times New Roman" w:eastAsia="Times New Roman" w:hAnsi="Times New Roman"/>
          <w:sz w:val="20"/>
          <w:szCs w:val="20"/>
          <w:rtl w:val="0"/>
        </w:rPr>
        <w:t xml:space="preserve">: MCI versus AD. Left: the MIP shows the voxels (gray) where AD subjects show a significant decrease in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Right: the overlay of the results on a standard MRI image. The red-to-yellow scale indicates the level of statistical differences in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uptake. (yellow=most significant difference)</w:t>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HC versus MCI</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w:t>
      </w:r>
      <w:r w:rsidDel="00000000" w:rsidR="00000000" w:rsidRPr="00000000">
        <w:rPr>
          <w:rFonts w:ascii="Times New Roman" w:cs="Times New Roman" w:eastAsia="Times New Roman" w:hAnsi="Times New Roman"/>
          <w:rtl w:val="0"/>
        </w:rPr>
        <w:t xml:space="preserve">statistically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significant difference was found in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 between HC and MCI patients. Thus, MCI and HC patients showed no </w:t>
      </w:r>
      <w:r w:rsidDel="00000000" w:rsidR="00000000" w:rsidRPr="00000000">
        <w:rPr>
          <w:rFonts w:ascii="Times New Roman" w:cs="Times New Roman" w:eastAsia="Times New Roman" w:hAnsi="Times New Roman"/>
          <w:rtl w:val="0"/>
        </w:rPr>
        <w:t xml:space="preserve">statistically </w:t>
      </w:r>
      <w:r w:rsidDel="00000000" w:rsidR="00000000" w:rsidRPr="00000000">
        <w:rPr>
          <w:rFonts w:ascii="Times New Roman" w:cs="Times New Roman" w:eastAsia="Times New Roman" w:hAnsi="Times New Roman"/>
          <w:rtl w:val="0"/>
        </w:rPr>
        <w:t xml:space="preserve">significant difference in glucose metabolism. </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HC versus AD</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When comparing HC and AD patients, AD patients show a decrease in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and hence a hypometabolism of glucose</w:t>
      </w:r>
      <w:r w:rsidDel="00000000" w:rsidR="00000000" w:rsidRPr="00000000">
        <w:rPr>
          <w:rFonts w:ascii="Times New Roman" w:cs="Times New Roman" w:eastAsia="Times New Roman" w:hAnsi="Times New Roman"/>
          <w:rtl w:val="0"/>
        </w:rPr>
        <w:t xml:space="preserve">, as compared with HC subjects (Fig. 3A)</w:t>
      </w:r>
      <w:r w:rsidDel="00000000" w:rsidR="00000000" w:rsidRPr="00000000">
        <w:rPr>
          <w:rFonts w:ascii="Times New Roman" w:cs="Times New Roman" w:eastAsia="Times New Roman" w:hAnsi="Times New Roman"/>
          <w:rtl w:val="0"/>
        </w:rPr>
        <w:t xml:space="preserve">. This hypometabolism was mainly present in the temporal, parietal and frontal lobes and also other structures such as the frontal gyrus, cuneus, and thalamus. A full list of regions affected with a decrease in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 can be found in the </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rtl w:val="0"/>
        </w:rPr>
        <w:t xml:space="preserve">ppendix (</w:t>
      </w:r>
      <w:r w:rsidDel="00000000" w:rsidR="00000000" w:rsidRPr="00000000">
        <w:rPr>
          <w:rFonts w:ascii="Times New Roman" w:cs="Times New Roman" w:eastAsia="Times New Roman" w:hAnsi="Times New Roman"/>
          <w:rtl w:val="0"/>
        </w:rPr>
        <w:t xml:space="preserve">App. IIA)</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MCI versus AD</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 patients showed a decrease in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 when compared to MCI patients. Therefore, AD shows hypometabolism of glucose when compared to both HC and MCI patients. The areas of importance are the temporal and parietal lobe as well as the cuneus, all on the left side (Fig. 3B). A full list of regions can be found in the </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rtl w:val="0"/>
        </w:rPr>
        <w:t xml:space="preserve">ppendix (App IIB).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MCI and AD subjects show an increase in amyloid deposition</w:t>
      </w:r>
    </w:p>
    <w:p w:rsidR="00000000" w:rsidDel="00000000" w:rsidP="00000000" w:rsidRDefault="00000000" w:rsidRPr="00000000">
      <w:pPr>
        <w:pBdr/>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drawing>
          <wp:inline distB="0" distT="0" distL="0" distR="0">
            <wp:extent cx="4471670" cy="3558540"/>
            <wp:effectExtent b="0" l="0" r="0" t="0"/>
            <wp:docPr id="5" name="image12.png"/>
            <a:graphic>
              <a:graphicData uri="http://schemas.openxmlformats.org/drawingml/2006/picture">
                <pic:pic>
                  <pic:nvPicPr>
                    <pic:cNvPr id="0" name="image12.png"/>
                    <pic:cNvPicPr preferRelativeResize="0"/>
                  </pic:nvPicPr>
                  <pic:blipFill>
                    <a:blip r:embed="rId37"/>
                    <a:srcRect b="0" l="29237" r="0" t="0"/>
                    <a:stretch>
                      <a:fillRect/>
                    </a:stretch>
                  </pic:blipFill>
                  <pic:spPr>
                    <a:xfrm>
                      <a:off x="0" y="0"/>
                      <a:ext cx="4471670" cy="355854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Visualization of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comparisons.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sz w:val="20"/>
          <w:szCs w:val="20"/>
          <w:rtl w:val="0"/>
        </w:rPr>
        <w:t xml:space="preserve">A</w:t>
      </w:r>
      <w:r w:rsidDel="00000000" w:rsidR="00000000" w:rsidRPr="00000000">
        <w:rPr>
          <w:rFonts w:ascii="Times New Roman" w:cs="Times New Roman" w:eastAsia="Times New Roman" w:hAnsi="Times New Roman"/>
          <w:sz w:val="20"/>
          <w:szCs w:val="20"/>
          <w:rtl w:val="0"/>
        </w:rPr>
        <w:t xml:space="preserve">: HC versus MCI. Left: the MIP shows the voxels (gray) where MCI subjects show a significant increase in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uptake. Right: the overlay of the results on a standard MRI image. The red-to-yellow scale indicates the level of statistical significance of the differences in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uptake. (yellow=most significant difference) </w:t>
      </w:r>
      <w:r w:rsidDel="00000000" w:rsidR="00000000" w:rsidRPr="00000000">
        <w:rPr>
          <w:rFonts w:ascii="Times New Roman" w:cs="Times New Roman" w:eastAsia="Times New Roman" w:hAnsi="Times New Roman"/>
          <w:b w:val="1"/>
          <w:sz w:val="20"/>
          <w:szCs w:val="20"/>
          <w:rtl w:val="0"/>
        </w:rPr>
        <w:t xml:space="preserve">B</w:t>
      </w:r>
      <w:r w:rsidDel="00000000" w:rsidR="00000000" w:rsidRPr="00000000">
        <w:rPr>
          <w:rFonts w:ascii="Times New Roman" w:cs="Times New Roman" w:eastAsia="Times New Roman" w:hAnsi="Times New Roman"/>
          <w:sz w:val="20"/>
          <w:szCs w:val="20"/>
          <w:rtl w:val="0"/>
        </w:rPr>
        <w:t xml:space="preserve">: HC versus AD. Left: the MIP shows the voxels (gray) where AD subjects show a significant increase in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Right: the overlay of the results on a standard MRI image. The red-to-yellow scale indicates the level of statistical differences in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uptake. (yellow=most significant difference)</w:t>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HC versus MCI</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MCI patients show</w:t>
      </w:r>
      <w:r w:rsidDel="00000000" w:rsidR="00000000" w:rsidRPr="00000000">
        <w:rPr>
          <w:rFonts w:ascii="Times New Roman" w:cs="Times New Roman" w:eastAsia="Times New Roman" w:hAnsi="Times New Roman"/>
          <w:rtl w:val="0"/>
        </w:rPr>
        <w:t xml:space="preserve">ed</w:t>
      </w:r>
      <w:r w:rsidDel="00000000" w:rsidR="00000000" w:rsidRPr="00000000">
        <w:rPr>
          <w:rFonts w:ascii="Times New Roman" w:cs="Times New Roman" w:eastAsia="Times New Roman" w:hAnsi="Times New Roman"/>
          <w:rtl w:val="0"/>
        </w:rPr>
        <w:t xml:space="preserve"> an increase in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signal when compared to HC. Thus, MCI patients have increased amyloid deposition. The images show bilateral deposition with the most affected regions in MCI patients being the frontal, temporal, and parietal lobes, as well as structures such as frontal and cingulate gyrus, cuneus, putamen, and insula (Fig. 4A). The complete list of regions can be found in the </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rtl w:val="0"/>
        </w:rPr>
        <w:t xml:space="preserve">ppendix (App. IIC).</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HC versus AD</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 patients show an increased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signal when compared to the HC group. Therefore, AD patients have increased amyloid deposition. Amyloid deposition is characteristic for AD thus increased amyloid deposition in AD patients is to be expected. The regions that are affected the most are the frontal, temporal, and parietal lobes, including structures such as the frontal and cingulate gyrus, putamen, and cuneus (Fig. 4B). A list of the regions affected can be found in the Appendix (App. IID). </w:t>
      </w:r>
    </w:p>
    <w:p w:rsidR="00000000" w:rsidDel="00000000" w:rsidP="00000000" w:rsidRDefault="00000000" w:rsidRPr="00000000">
      <w:pPr>
        <w:pBdr/>
        <w:ind w:firstLine="72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MCI versus AD</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statistically significant variance was found between MCI and AD. Thus, MCI and AD subjects showed no statistically significant difference in amyloid deposition.</w:t>
      </w:r>
    </w:p>
    <w:p w:rsidR="00000000" w:rsidDel="00000000" w:rsidP="00000000" w:rsidRDefault="00000000" w:rsidRPr="00000000">
      <w:pPr>
        <w:pBdr/>
        <w:ind w:left="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vertAlign w:val="superscript"/>
          <w:rtl w:val="0"/>
        </w:rPr>
        <w:t xml:space="preserve">11</w:t>
      </w:r>
      <w:r w:rsidDel="00000000" w:rsidR="00000000" w:rsidRPr="00000000">
        <w:rPr>
          <w:rFonts w:ascii="Times New Roman" w:cs="Times New Roman" w:eastAsia="Times New Roman" w:hAnsi="Times New Roman"/>
          <w:b w:val="1"/>
          <w:rtl w:val="0"/>
        </w:rPr>
        <w:t xml:space="preserve">C-PiB+ show a decrease in glucose metabolism and an increase in amyloid deposition</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subjects were also divided into groups based on their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positivity based on their visual assessment. Both groups consisted of 15 subjects. The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positive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group consists of 8 AD and 7 MCI, while the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negative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group consists of 2 AD, 3 MCI, and 10 HC.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drawing>
          <wp:inline distB="0" distT="0" distL="0" distR="0">
            <wp:extent cx="4138613" cy="3312880"/>
            <wp:effectExtent b="0" l="0" r="0" t="0"/>
            <wp:docPr id="8" name="image15.png"/>
            <a:graphic>
              <a:graphicData uri="http://schemas.openxmlformats.org/drawingml/2006/picture">
                <pic:pic>
                  <pic:nvPicPr>
                    <pic:cNvPr id="0" name="image15.png"/>
                    <pic:cNvPicPr preferRelativeResize="0"/>
                  </pic:nvPicPr>
                  <pic:blipFill>
                    <a:blip r:embed="rId38"/>
                    <a:srcRect b="0" l="29569" r="0" t="0"/>
                    <a:stretch>
                      <a:fillRect/>
                    </a:stretch>
                  </pic:blipFill>
                  <pic:spPr>
                    <a:xfrm>
                      <a:off x="0" y="0"/>
                      <a:ext cx="4138613" cy="331288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Figure </w:t>
      </w:r>
      <w:r w:rsidDel="00000000" w:rsidR="00000000" w:rsidRPr="00000000">
        <w:rPr>
          <w:rFonts w:ascii="Times New Roman" w:cs="Times New Roman" w:eastAsia="Times New Roman" w:hAnsi="Times New Roman"/>
          <w:b w:val="1"/>
          <w:rtl w:val="0"/>
        </w:rPr>
        <w:t xml:space="preserve">5</w:t>
      </w:r>
      <w:r w:rsidDel="00000000" w:rsidR="00000000" w:rsidRPr="00000000">
        <w:rPr>
          <w:rFonts w:ascii="Times New Roman" w:cs="Times New Roman" w:eastAsia="Times New Roman" w:hAnsi="Times New Roman"/>
          <w:rtl w:val="0"/>
        </w:rPr>
        <w:t xml:space="preserve">: Comparisons between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groups. - </w:t>
      </w:r>
      <w:r w:rsidDel="00000000" w:rsidR="00000000" w:rsidRPr="00000000">
        <w:rPr>
          <w:rFonts w:ascii="Times New Roman" w:cs="Times New Roman" w:eastAsia="Times New Roman" w:hAnsi="Times New Roman"/>
          <w:b w:val="1"/>
          <w:sz w:val="20"/>
          <w:szCs w:val="20"/>
          <w:rtl w:val="0"/>
        </w:rPr>
        <w:t xml:space="preserve">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Left: the MIP shows the voxels (gray) where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subjects show a significant decrease in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uptake. Right: the overlay of the results on a standard MRI image. The red-to-yellow scale indicates the level of statistical significance of the differences in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uptake. (yellow=most significant difference). </w:t>
      </w:r>
      <w:r w:rsidDel="00000000" w:rsidR="00000000" w:rsidRPr="00000000">
        <w:rPr>
          <w:rFonts w:ascii="Times New Roman" w:cs="Times New Roman" w:eastAsia="Times New Roman" w:hAnsi="Times New Roman"/>
          <w:b w:val="1"/>
          <w:sz w:val="20"/>
          <w:szCs w:val="20"/>
          <w:rtl w:val="0"/>
        </w:rPr>
        <w:t xml:space="preserve">B</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Left: the MIP shows the voxels (gray) where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subjects show a significant increase in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uptake. Right: the overlay of the results on a standard MRI image. The red-to-yellow scale indicates the level of statistical  significance of the differences in </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C-PiB uptake. (yellow=most significant difference)</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vertAlign w:val="superscript"/>
          <w:rtl w:val="0"/>
        </w:rPr>
        <w:t xml:space="preserve">11</w:t>
      </w:r>
      <w:r w:rsidDel="00000000" w:rsidR="00000000" w:rsidRPr="00000000">
        <w:rPr>
          <w:rFonts w:ascii="Times New Roman" w:cs="Times New Roman" w:eastAsia="Times New Roman" w:hAnsi="Times New Roman"/>
          <w:b w:val="1"/>
          <w:rtl w:val="0"/>
        </w:rPr>
        <w:t xml:space="preserve">C-PiB+ subjects show a significant decrease in glucose metabolism</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patients showed a decrease in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 when compared to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Thus, these patients show hypometabolism of glucose. The regions where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show a decrease in glucose metabolism are the temporal, parietal, and frontal lobes and structures such as the hippocampus and thalamus. The left side is affected more than the right side as can be seen in figure 5A. The full list of regions with increased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 can be found in the Appendix (App. IIE). </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vertAlign w:val="superscript"/>
          <w:rtl w:val="0"/>
        </w:rPr>
        <w:t xml:space="preserve">11</w:t>
      </w:r>
      <w:r w:rsidDel="00000000" w:rsidR="00000000" w:rsidRPr="00000000">
        <w:rPr>
          <w:rFonts w:ascii="Times New Roman" w:cs="Times New Roman" w:eastAsia="Times New Roman" w:hAnsi="Times New Roman"/>
          <w:b w:val="1"/>
          <w:rtl w:val="0"/>
        </w:rPr>
        <w:t xml:space="preserve">C-PiB+ subjects show a significant increase in amyloid plaque deposition</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patients showed more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signal and thus have more amyloid plaques compared to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This is to be expected as patients were placed in the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group because they visually showed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uptake on their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PET scans. The accumulation of amyloid plaques can be seen both left and right in the frontal, temporal, and parietal lobes as well as specific structures such as the cuneus, putamen, thalamus, and insula (Fig. 5B). The complete list of regions can be found in the Appendix (App. IIF).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T-tau and age negatively correlate with </w:t>
      </w:r>
      <w:r w:rsidDel="00000000" w:rsidR="00000000" w:rsidRPr="00000000">
        <w:rPr>
          <w:rFonts w:ascii="Times New Roman" w:cs="Times New Roman" w:eastAsia="Times New Roman" w:hAnsi="Times New Roman"/>
          <w:b w:val="1"/>
          <w:vertAlign w:val="superscript"/>
          <w:rtl w:val="0"/>
        </w:rPr>
        <w:t xml:space="preserve">18</w:t>
      </w:r>
      <w:r w:rsidDel="00000000" w:rsidR="00000000" w:rsidRPr="00000000">
        <w:rPr>
          <w:rFonts w:ascii="Times New Roman" w:cs="Times New Roman" w:eastAsia="Times New Roman" w:hAnsi="Times New Roman"/>
          <w:b w:val="1"/>
          <w:rtl w:val="0"/>
        </w:rPr>
        <w:t xml:space="preserve">F-FDG signal</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tl w:val="0"/>
        </w:rPr>
        <w:t xml:space="preserve">Multiple regression </w:t>
      </w:r>
      <w:r w:rsidDel="00000000" w:rsidR="00000000" w:rsidRPr="00000000">
        <w:rPr>
          <w:rFonts w:ascii="Cardo" w:cs="Cardo" w:eastAsia="Cardo" w:hAnsi="Cardo"/>
          <w:rtl w:val="0"/>
        </w:rPr>
        <w:t xml:space="preserve">was performed using age, MMSE, ꞵ-amyloid, and t-tau as variables using the values provided for 16 subjects, 8 AD and 8 MCI. No values for ꞵ-amyloid and t-tau were available because a CSF sample was not taken from HC subjects. Thus, these subjects were excluded from the multiple regression analysis. P-tau was not included as it strongly correlates with </w:t>
      </w:r>
      <w:r w:rsidDel="00000000" w:rsidR="00000000" w:rsidRPr="00000000">
        <w:rPr>
          <w:rFonts w:ascii="Times New Roman" w:cs="Times New Roman" w:eastAsia="Times New Roman" w:hAnsi="Times New Roman"/>
          <w:rtl w:val="0"/>
        </w:rPr>
        <w:t xml:space="preserve">t-tau</w:t>
      </w:r>
      <w:r w:rsidDel="00000000" w:rsidR="00000000" w:rsidRPr="00000000">
        <w:rPr>
          <w:rFonts w:ascii="Times New Roman" w:cs="Times New Roman" w:eastAsia="Times New Roman" w:hAnsi="Times New Roman"/>
          <w:rtl w:val="0"/>
        </w:rPr>
        <w:t xml:space="preserve"> with a Pearson correlation coefficient of 0.973. Thi</w:t>
      </w:r>
      <w:r w:rsidDel="00000000" w:rsidR="00000000" w:rsidRPr="00000000">
        <w:rPr>
          <w:rFonts w:ascii="Times New Roman" w:cs="Times New Roman" w:eastAsia="Times New Roman" w:hAnsi="Times New Roman"/>
          <w:rtl w:val="0"/>
        </w:rPr>
        <w:t xml:space="preserve">s test was performed to determine the relationship between </w:t>
      </w:r>
      <w:r w:rsidDel="00000000" w:rsidR="00000000" w:rsidRPr="00000000">
        <w:rPr>
          <w:rFonts w:ascii="Times New Roman" w:cs="Times New Roman" w:eastAsia="Times New Roman" w:hAnsi="Times New Roman"/>
          <w:rtl w:val="0"/>
        </w:rPr>
        <w:t xml:space="preserve">variables and the uptake of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and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drawing>
          <wp:inline distB="0" distT="0" distL="0" distR="0">
            <wp:extent cx="3724275" cy="3228975"/>
            <wp:effectExtent b="0" l="0" r="0" t="0"/>
            <wp:docPr id="7" name="image14.png"/>
            <a:graphic>
              <a:graphicData uri="http://schemas.openxmlformats.org/drawingml/2006/picture">
                <pic:pic>
                  <pic:nvPicPr>
                    <pic:cNvPr id="0" name="image14.png"/>
                    <pic:cNvPicPr preferRelativeResize="0"/>
                  </pic:nvPicPr>
                  <pic:blipFill>
                    <a:blip r:embed="rId39"/>
                    <a:srcRect b="0" l="31566" r="3489" t="0"/>
                    <a:stretch>
                      <a:fillRect/>
                    </a:stretch>
                  </pic:blipFill>
                  <pic:spPr>
                    <a:xfrm>
                      <a:off x="0" y="0"/>
                      <a:ext cx="3724275" cy="32289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Figure 6</w:t>
      </w:r>
      <w:r w:rsidDel="00000000" w:rsidR="00000000" w:rsidRPr="00000000">
        <w:rPr>
          <w:rFonts w:ascii="Times New Roman" w:cs="Times New Roman" w:eastAsia="Times New Roman" w:hAnsi="Times New Roman"/>
          <w:rtl w:val="0"/>
        </w:rPr>
        <w:t xml:space="preserve">: Correlation between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and t-tau and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and age. - </w:t>
      </w:r>
      <w:r w:rsidDel="00000000" w:rsidR="00000000" w:rsidRPr="00000000">
        <w:rPr>
          <w:rFonts w:ascii="Times New Roman" w:cs="Times New Roman" w:eastAsia="Times New Roman" w:hAnsi="Times New Roman"/>
          <w:b w:val="1"/>
          <w:sz w:val="20"/>
          <w:szCs w:val="20"/>
          <w:rtl w:val="0"/>
        </w:rPr>
        <w:t xml:space="preserve">A</w:t>
      </w:r>
      <w:r w:rsidDel="00000000" w:rsidR="00000000" w:rsidRPr="00000000">
        <w:rPr>
          <w:rFonts w:ascii="Times New Roman" w:cs="Times New Roman" w:eastAsia="Times New Roman" w:hAnsi="Times New Roman"/>
          <w:sz w:val="20"/>
          <w:szCs w:val="20"/>
          <w:rtl w:val="0"/>
        </w:rPr>
        <w:t xml:space="preserve">: T-tau and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Left: the MIP shows the voxels (gray) where a decrease in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corresponds to an increase in t-tau. Right: the overlay of the results on a standard MRI image. The red-to-yellow scale indicates the level of statistical significance of the differences in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(yellow=most significant difference) </w:t>
      </w:r>
      <w:r w:rsidDel="00000000" w:rsidR="00000000" w:rsidRPr="00000000">
        <w:rPr>
          <w:rFonts w:ascii="Times New Roman" w:cs="Times New Roman" w:eastAsia="Times New Roman" w:hAnsi="Times New Roman"/>
          <w:b w:val="1"/>
          <w:sz w:val="20"/>
          <w:szCs w:val="20"/>
          <w:rtl w:val="0"/>
        </w:rPr>
        <w:t xml:space="preserve">B</w:t>
      </w:r>
      <w:r w:rsidDel="00000000" w:rsidR="00000000" w:rsidRPr="00000000">
        <w:rPr>
          <w:rFonts w:ascii="Times New Roman" w:cs="Times New Roman" w:eastAsia="Times New Roman" w:hAnsi="Times New Roman"/>
          <w:sz w:val="20"/>
          <w:szCs w:val="20"/>
          <w:rtl w:val="0"/>
        </w:rPr>
        <w:t xml:space="preserve">: Age and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Left: the MIP shows the voxels (gray) where a decrease in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corresponds to an increase in age of subjects. Right: the overlay of the results on a standard MRI image. The red-to-yellow scale indicates the level of statistical significance of the differences in </w:t>
      </w: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F-FDG. (yellow=most significant difference)</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T-tau (and thus also p-tau) negatively correlates to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 in frontal and parietal gyrus (Fig. 6A). Specifically in the frontal, central gyrus, and insula. In the Appendix (App. IIG) a full list can be found with the regions affected. Thus, an increase in t-tau correlates with glucose hypometabolism.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Age negatively correlates to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 in the cerebellum (Fig. 6B). An increase in age corresponds to a decrease in glucose metabolism.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3"/>
        <w:pBdr/>
        <w:spacing w:before="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Discussion</w:t>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AD patients showed decreased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 and thus also decreased glucose metabolism. </w:t>
      </w:r>
      <w:r w:rsidDel="00000000" w:rsidR="00000000" w:rsidRPr="00000000">
        <w:rPr>
          <w:rFonts w:ascii="Times New Roman" w:cs="Times New Roman" w:eastAsia="Times New Roman" w:hAnsi="Times New Roman"/>
          <w:rtl w:val="0"/>
        </w:rPr>
        <w:t xml:space="preserve">As glucose is the main source of energy in the brain </w:t>
      </w:r>
      <w:r w:rsidDel="00000000" w:rsidR="00000000" w:rsidRPr="00000000">
        <w:rPr>
          <w:rFonts w:ascii="Times New Roman" w:cs="Times New Roman" w:eastAsia="Times New Roman" w:hAnsi="Times New Roman"/>
          <w:rtl w:val="0"/>
        </w:rPr>
        <w:t xml:space="preserve">it reflects the energy needs of the neuronal systems of the brain. In a study performed by Teune et al. (2010) </w:t>
      </w:r>
      <w:hyperlink r:id="rId40">
        <w:r w:rsidDel="00000000" w:rsidR="00000000" w:rsidRPr="00000000">
          <w:rPr>
            <w:rFonts w:ascii="Times New Roman" w:cs="Times New Roman" w:eastAsia="Times New Roman" w:hAnsi="Times New Roman"/>
            <w:b w:val="0"/>
            <w:color w:val="000000"/>
            <w:u w:val="none"/>
            <w:rtl w:val="0"/>
          </w:rPr>
          <w:t xml:space="preserve">(25)</w:t>
        </w:r>
      </w:hyperlink>
      <w:r w:rsidDel="00000000" w:rsidR="00000000" w:rsidRPr="00000000">
        <w:rPr>
          <w:rFonts w:ascii="Times New Roman" w:cs="Times New Roman" w:eastAsia="Times New Roman" w:hAnsi="Times New Roman"/>
          <w:rtl w:val="0"/>
        </w:rPr>
        <w:t xml:space="preserve"> the most prominent decreases in metabolic activity were found in the angular gyrus and other parieto-temporal regions including precuneus extending to the posterior- and middle cingulate gyrus. Furthermore, decreases were found in the right middle and inferior frontal gyrus. In research done by Herholz et. al (2002) </w:t>
      </w:r>
      <w:hyperlink r:id="rId41">
        <w:r w:rsidDel="00000000" w:rsidR="00000000" w:rsidRPr="00000000">
          <w:rPr>
            <w:rFonts w:ascii="Times New Roman" w:cs="Times New Roman" w:eastAsia="Times New Roman" w:hAnsi="Times New Roman"/>
            <w:b w:val="0"/>
            <w:color w:val="000000"/>
            <w:u w:val="none"/>
            <w:rtl w:val="0"/>
          </w:rPr>
          <w:t xml:space="preserve">(26)</w:t>
        </w:r>
      </w:hyperlink>
      <w:r w:rsidDel="00000000" w:rsidR="00000000" w:rsidRPr="00000000">
        <w:rPr>
          <w:rFonts w:ascii="Times New Roman" w:cs="Times New Roman" w:eastAsia="Times New Roman" w:hAnsi="Times New Roman"/>
          <w:rtl w:val="0"/>
        </w:rPr>
        <w:t xml:space="preserve">, patients with probable AD showed a decline of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uptake in the posterior cingulate, temporoparietal, and prefrontal association cortex. These regions were also affected in the present research. Thus, the results found in this research project are similar to that found elsewhere.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statistically significant decrease in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 is only seen in AD patients, and not in the MCI group. Thus, this suggests that glucose metabolism is affected later on in disease progression of AD. This could mean that the deposition of amyloid causes the disruption of neuronal systems which leads to neurodegeneration and the decrease in glucose metabolism. </w:t>
      </w:r>
    </w:p>
    <w:p w:rsidR="00000000" w:rsidDel="00000000" w:rsidP="00000000" w:rsidRDefault="00000000" w:rsidRPr="00000000">
      <w:pPr>
        <w:pBdr/>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t xml:space="preserve">Both MCI and AD showed increases in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signal meaning that both MCI and AD patients have increased amyloid deposition. There was no significant difference found when MCI and AD were compared to each other. This suggests that amyloid deposition is the first step in the disease progression “the amyloid hypothesis” and that the amyloid plaques cause neurodegeneration leading to a decrease in glucose metabolism which is seen in AD patients, but not MCI patients.</w:t>
      </w:r>
      <w:r w:rsidDel="00000000" w:rsidR="00000000" w:rsidRPr="00000000">
        <w:rPr>
          <w:rFonts w:ascii="Times New Roman" w:cs="Times New Roman" w:eastAsia="Times New Roman" w:hAnsi="Times New Roman"/>
          <w:rtl w:val="0"/>
        </w:rPr>
        <w:t xml:space="preserve"> As amyloid plaques are a central event in the etiology of AD, MCI patients with increased amyloid deposition are at an increased risk of developing AD at a later stage.</w:t>
      </w:r>
      <w:r w:rsidDel="00000000" w:rsidR="00000000" w:rsidRPr="00000000">
        <w:rPr>
          <w:rFonts w:ascii="Times New Roman" w:cs="Times New Roman" w:eastAsia="Times New Roman" w:hAnsi="Times New Roman"/>
          <w:rtl w:val="0"/>
        </w:rPr>
        <w:t xml:space="preserve"> Something that should be noted is that amyloid plaque can be present in healthy brains. In an article by Jansen et al. (2015) </w:t>
      </w:r>
      <w:hyperlink r:id="rId42">
        <w:r w:rsidDel="00000000" w:rsidR="00000000" w:rsidRPr="00000000">
          <w:rPr>
            <w:rFonts w:ascii="Times New Roman" w:cs="Times New Roman" w:eastAsia="Times New Roman" w:hAnsi="Times New Roman"/>
            <w:b w:val="0"/>
            <w:color w:val="000000"/>
            <w:u w:val="none"/>
            <w:rtl w:val="0"/>
          </w:rPr>
          <w:t xml:space="preserve">(27)</w:t>
        </w:r>
      </w:hyperlink>
      <w:r w:rsidDel="00000000" w:rsidR="00000000" w:rsidRPr="00000000">
        <w:rPr>
          <w:rFonts w:ascii="Times New Roman" w:cs="Times New Roman" w:eastAsia="Times New Roman" w:hAnsi="Times New Roman"/>
          <w:rtl w:val="0"/>
        </w:rPr>
        <w:t xml:space="preserve"> they concluded that a 20- to 30- year interval exists between</w:t>
      </w:r>
      <w:r w:rsidDel="00000000" w:rsidR="00000000" w:rsidRPr="00000000">
        <w:rPr>
          <w:rFonts w:ascii="Times New Roman" w:cs="Times New Roman" w:eastAsia="Times New Roman" w:hAnsi="Times New Roman"/>
          <w:rtl w:val="0"/>
        </w:rPr>
        <w:t xml:space="preserve"> the</w:t>
      </w:r>
      <w:r w:rsidDel="00000000" w:rsidR="00000000" w:rsidRPr="00000000">
        <w:rPr>
          <w:rFonts w:ascii="Times New Roman" w:cs="Times New Roman" w:eastAsia="Times New Roman" w:hAnsi="Times New Roman"/>
          <w:rtl w:val="0"/>
        </w:rPr>
        <w:t xml:space="preserve"> first development of amyloid positivity and onset of AD.  In studies performed by Ziolko et. al (2006) </w:t>
      </w:r>
      <w:hyperlink r:id="rId43">
        <w:r w:rsidDel="00000000" w:rsidR="00000000" w:rsidRPr="00000000">
          <w:rPr>
            <w:rFonts w:ascii="Times New Roman" w:cs="Times New Roman" w:eastAsia="Times New Roman" w:hAnsi="Times New Roman"/>
            <w:b w:val="0"/>
            <w:color w:val="000000"/>
            <w:u w:val="none"/>
            <w:rtl w:val="0"/>
          </w:rPr>
          <w:t xml:space="preserve">(28)</w:t>
        </w:r>
      </w:hyperlink>
      <w:r w:rsidDel="00000000" w:rsidR="00000000" w:rsidRPr="00000000">
        <w:rPr>
          <w:rFonts w:ascii="Times New Roman" w:cs="Times New Roman" w:eastAsia="Times New Roman" w:hAnsi="Times New Roman"/>
          <w:rtl w:val="0"/>
        </w:rPr>
        <w:t xml:space="preserve"> and Kemppainen et. al (2007) </w:t>
      </w:r>
      <w:hyperlink r:id="rId44">
        <w:r w:rsidDel="00000000" w:rsidR="00000000" w:rsidRPr="00000000">
          <w:rPr>
            <w:rFonts w:ascii="Times New Roman" w:cs="Times New Roman" w:eastAsia="Times New Roman" w:hAnsi="Times New Roman"/>
            <w:b w:val="0"/>
            <w:color w:val="000000"/>
            <w:u w:val="none"/>
            <w:rtl w:val="0"/>
          </w:rPr>
          <w:t xml:space="preserve">(18)</w:t>
        </w:r>
      </w:hyperlink>
      <w:r w:rsidDel="00000000" w:rsidR="00000000" w:rsidRPr="00000000">
        <w:rPr>
          <w:rFonts w:ascii="Times New Roman" w:cs="Times New Roman" w:eastAsia="Times New Roman" w:hAnsi="Times New Roman"/>
          <w:rtl w:val="0"/>
        </w:rPr>
        <w:t xml:space="preserve"> AD subjects showed highly significant retention of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in frontal, parietal, temporal cortices as well as in the cingulate and frontal gyri. This coincides with the regions that showed significant retention in the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comparisons.</w:t>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patients showed a decrease in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 and thus also a decrease in glucose metabolism when compared to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patients. As postulated above, it is most likely that impaired glucose metabolism occurs later in disease progression and thus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patients would show a greater impairment in glucose metabolism than those in the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group. Which is shown in the results. </w:t>
      </w: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patients show an increase in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signal and thus an increase in amyloid deposition. This is to be expected as patients were placed in the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group because they visually showed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uptake on their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w:t>
      </w:r>
      <w:r w:rsidDel="00000000" w:rsidR="00000000" w:rsidRPr="00000000">
        <w:rPr>
          <w:rFonts w:ascii="Times New Roman" w:cs="Times New Roman" w:eastAsia="Times New Roman" w:hAnsi="Times New Roman"/>
          <w:rtl w:val="0"/>
        </w:rPr>
        <w:t xml:space="preserve"> PET scans. Thus, this comparison is a confirmation of the visual assessment. </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CSF </w:t>
      </w:r>
      <w:r w:rsidDel="00000000" w:rsidR="00000000" w:rsidRPr="00000000">
        <w:rPr>
          <w:rFonts w:ascii="Times New Roman" w:cs="Times New Roman" w:eastAsia="Times New Roman" w:hAnsi="Times New Roman"/>
          <w:rtl w:val="0"/>
        </w:rPr>
        <w:t xml:space="preserve">T-tau negatively correlates with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w:t>
      </w:r>
      <w:r w:rsidDel="00000000" w:rsidR="00000000" w:rsidRPr="00000000">
        <w:rPr>
          <w:rFonts w:ascii="Times New Roman" w:cs="Times New Roman" w:eastAsia="Times New Roman" w:hAnsi="Times New Roman"/>
          <w:rtl w:val="0"/>
        </w:rPr>
        <w:t xml:space="preserve"> and both are interpreted as  neurodegenerative biomarker. Especially </w:t>
      </w:r>
      <w:r w:rsidDel="00000000" w:rsidR="00000000" w:rsidRPr="00000000">
        <w:rPr>
          <w:rFonts w:ascii="Times New Roman" w:cs="Times New Roman" w:eastAsia="Times New Roman" w:hAnsi="Times New Roman"/>
          <w:rtl w:val="0"/>
        </w:rPr>
        <w:t xml:space="preserve"> an increase in t-tau (and also p-tau) </w:t>
      </w:r>
      <w:r w:rsidDel="00000000" w:rsidR="00000000" w:rsidRPr="00000000">
        <w:rPr>
          <w:rFonts w:ascii="Times New Roman" w:cs="Times New Roman" w:eastAsia="Times New Roman" w:hAnsi="Times New Roman"/>
          <w:rtl w:val="0"/>
        </w:rPr>
        <w:t xml:space="preserve">is associated with </w:t>
      </w:r>
      <w:r w:rsidDel="00000000" w:rsidR="00000000" w:rsidRPr="00000000">
        <w:rPr>
          <w:rFonts w:ascii="Times New Roman" w:cs="Times New Roman" w:eastAsia="Times New Roman" w:hAnsi="Times New Roman"/>
          <w:rtl w:val="0"/>
        </w:rPr>
        <w:t xml:space="preserve"> a decrease in </w:t>
      </w:r>
      <w:r w:rsidDel="00000000" w:rsidR="00000000" w:rsidRPr="00000000">
        <w:rPr>
          <w:rFonts w:ascii="Times New Roman" w:cs="Times New Roman" w:eastAsia="Times New Roman" w:hAnsi="Times New Roman"/>
          <w:color w:val="252525"/>
          <w:highlight w:val="white"/>
          <w:vertAlign w:val="superscript"/>
          <w:rtl w:val="0"/>
        </w:rPr>
        <w:t xml:space="preserve">18</w:t>
      </w:r>
      <w:r w:rsidDel="00000000" w:rsidR="00000000" w:rsidRPr="00000000">
        <w:rPr>
          <w:rFonts w:ascii="Times New Roman" w:cs="Times New Roman" w:eastAsia="Times New Roman" w:hAnsi="Times New Roman"/>
          <w:color w:val="252525"/>
          <w:highlight w:val="white"/>
          <w:rtl w:val="0"/>
        </w:rPr>
        <w:t xml:space="preserve">F-FDG</w:t>
      </w:r>
      <w:r w:rsidDel="00000000" w:rsidR="00000000" w:rsidRPr="00000000">
        <w:rPr>
          <w:rFonts w:ascii="Times New Roman" w:cs="Times New Roman" w:eastAsia="Times New Roman" w:hAnsi="Times New Roman"/>
          <w:rtl w:val="0"/>
        </w:rPr>
        <w:t xml:space="preserve"> signal in the frontal and parietal gyrus. As shown in the results above, an increase in age </w:t>
      </w:r>
      <w:r w:rsidDel="00000000" w:rsidR="00000000" w:rsidRPr="00000000">
        <w:rPr>
          <w:rFonts w:ascii="Times New Roman" w:cs="Times New Roman" w:eastAsia="Times New Roman" w:hAnsi="Times New Roman"/>
          <w:rtl w:val="0"/>
        </w:rPr>
        <w:t xml:space="preserve">is associated with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rtl w:val="0"/>
        </w:rPr>
        <w:t xml:space="preserve">decrease in glucose metabolism in the cerebellum.</w:t>
      </w:r>
      <w:r w:rsidDel="00000000" w:rsidR="00000000" w:rsidRPr="00000000">
        <w:rPr>
          <w:rFonts w:ascii="Times New Roman" w:cs="Times New Roman" w:eastAsia="Times New Roman" w:hAnsi="Times New Roman"/>
          <w:rtl w:val="0"/>
        </w:rPr>
        <w:t xml:space="preserve"> Older age is associated with higher prevalence of neurodegeneration and dementia. </w:t>
      </w:r>
      <w:r w:rsidDel="00000000" w:rsidR="00000000" w:rsidRPr="00000000">
        <w:rPr>
          <w:rFonts w:ascii="Times New Roman" w:cs="Times New Roman" w:eastAsia="Times New Roman" w:hAnsi="Times New Roman"/>
          <w:rtl w:val="0"/>
        </w:rPr>
        <w:t xml:space="preserve">The cerebellum plays a role in motor control, and may also be involved in some cognitive functions such as attention and language as well as the regulation of fear and pleasure responses. The cerebellum does not initiate movement, but helps in the coordination, precision, and accurate timing of movement. Thus, an increase in age could mean a loss of coordination of motor control. </w:t>
      </w:r>
      <w:r w:rsidDel="00000000" w:rsidR="00000000" w:rsidRPr="00000000">
        <w:rPr>
          <w:rtl w:val="0"/>
        </w:rPr>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brain biopsy, which is used for diagnosis of definite AD is invasive. PET imaging on the other hand is a procedure with no adverse effects for the subjects. The venous cannula which is used for the injection of the radiotracer is minimally invasive and the tracer concentration does not have a pharmacological effect on the subjects. Thus, the use of PET imaging may be preferential for the diagnosing of dementias. </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PET scan the subject is placed in the scanner for 60 minutes. This can be uncomfortable for subjects thus a shorter acquisition such as that of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(30 minutes) would be preferred, however this is could also be less accurate. Therefore, further research is needed to better depict the dynamics of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which could eventually lead to the use of a shorter PET acquisition. </w:t>
      </w:r>
    </w:p>
    <w:p w:rsidR="00000000" w:rsidDel="00000000" w:rsidP="00000000" w:rsidRDefault="00000000" w:rsidRPr="00000000">
      <w:pPr>
        <w:pBd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research project, 30 patients were included; 10 AD, 10 MCI, and 10 HC. However, these groups are </w:t>
      </w:r>
      <w:r w:rsidDel="00000000" w:rsidR="00000000" w:rsidRPr="00000000">
        <w:rPr>
          <w:rFonts w:ascii="Times New Roman" w:cs="Times New Roman" w:eastAsia="Times New Roman" w:hAnsi="Times New Roman"/>
          <w:rtl w:val="0"/>
        </w:rPr>
        <w:t xml:space="preserve">relatively small</w:t>
      </w:r>
      <w:r w:rsidDel="00000000" w:rsidR="00000000" w:rsidRPr="00000000">
        <w:rPr>
          <w:rFonts w:ascii="Times New Roman" w:cs="Times New Roman" w:eastAsia="Times New Roman" w:hAnsi="Times New Roman"/>
          <w:rtl w:val="0"/>
        </w:rPr>
        <w:t xml:space="preserve"> for conclusive statements. Thus, in future research</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the amount of patients participating </w:t>
      </w:r>
      <w:r w:rsidDel="00000000" w:rsidR="00000000" w:rsidRPr="00000000">
        <w:rPr>
          <w:rFonts w:ascii="Times New Roman" w:cs="Times New Roman" w:eastAsia="Times New Roman" w:hAnsi="Times New Roman"/>
          <w:rtl w:val="0"/>
        </w:rPr>
        <w:t xml:space="preserve">should </w:t>
      </w:r>
      <w:r w:rsidDel="00000000" w:rsidR="00000000" w:rsidRPr="00000000">
        <w:rPr>
          <w:rFonts w:ascii="Times New Roman" w:cs="Times New Roman" w:eastAsia="Times New Roman" w:hAnsi="Times New Roman"/>
          <w:rtl w:val="0"/>
        </w:rPr>
        <w:t xml:space="preserve">be increased to </w:t>
      </w:r>
      <w:r w:rsidDel="00000000" w:rsidR="00000000" w:rsidRPr="00000000">
        <w:rPr>
          <w:rFonts w:ascii="Times New Roman" w:cs="Times New Roman" w:eastAsia="Times New Roman" w:hAnsi="Times New Roman"/>
          <w:rtl w:val="0"/>
        </w:rPr>
        <w:t xml:space="preserve"> validate the results and strengthen the conclusions</w:t>
      </w:r>
      <w:r w:rsidDel="00000000" w:rsidR="00000000" w:rsidRPr="00000000">
        <w:rPr>
          <w:rFonts w:ascii="Times New Roman" w:cs="Times New Roman" w:eastAsia="Times New Roman" w:hAnsi="Times New Roman"/>
          <w:rtl w:val="0"/>
        </w:rPr>
        <w:t xml:space="preserve">. What would also be </w:t>
      </w:r>
      <w:r w:rsidDel="00000000" w:rsidR="00000000" w:rsidRPr="00000000">
        <w:rPr>
          <w:rFonts w:ascii="Times New Roman" w:cs="Times New Roman" w:eastAsia="Times New Roman" w:hAnsi="Times New Roman"/>
          <w:rtl w:val="0"/>
        </w:rPr>
        <w:t xml:space="preserve">of </w:t>
      </w:r>
      <w:r w:rsidDel="00000000" w:rsidR="00000000" w:rsidRPr="00000000">
        <w:rPr>
          <w:rFonts w:ascii="Times New Roman" w:cs="Times New Roman" w:eastAsia="Times New Roman" w:hAnsi="Times New Roman"/>
          <w:rtl w:val="0"/>
        </w:rPr>
        <w:t xml:space="preserve">interest</w:t>
      </w:r>
      <w:r w:rsidDel="00000000" w:rsidR="00000000" w:rsidRPr="00000000">
        <w:rPr>
          <w:rFonts w:ascii="Times New Roman" w:cs="Times New Roman" w:eastAsia="Times New Roman" w:hAnsi="Times New Roman"/>
          <w:rtl w:val="0"/>
        </w:rPr>
        <w:t xml:space="preserve"> in future research </w:t>
      </w:r>
      <w:r w:rsidDel="00000000" w:rsidR="00000000" w:rsidRPr="00000000">
        <w:rPr>
          <w:rFonts w:ascii="Times New Roman" w:cs="Times New Roman" w:eastAsia="Times New Roman" w:hAnsi="Times New Roman"/>
          <w:rtl w:val="0"/>
        </w:rPr>
        <w:t xml:space="preserve">is a longitudinal study following the MCI patients to research the disease progression to AD or another dementia. Many questions still remain regarding the disease progression of AD, such as the factors that influence whether MCI remains stable, remits, or progresses and the events that play a central role in disease development.</w:t>
      </w:r>
    </w:p>
    <w:p w:rsidR="00000000" w:rsidDel="00000000" w:rsidP="00000000" w:rsidRDefault="00000000" w:rsidRPr="00000000">
      <w:pPr>
        <w:pStyle w:val="Heading3"/>
        <w:pBdr/>
        <w:contextualSpacing w:val="0"/>
        <w:jc w:val="both"/>
        <w:rPr>
          <w:rFonts w:ascii="Times New Roman" w:cs="Times New Roman" w:eastAsia="Times New Roman" w:hAnsi="Times New Roman"/>
        </w:rPr>
      </w:pPr>
      <w:bookmarkStart w:colFirst="0" w:colLast="0" w:name="_44sinio" w:id="14"/>
      <w:bookmarkEnd w:id="14"/>
      <w:r w:rsidDel="00000000" w:rsidR="00000000" w:rsidRPr="00000000">
        <w:rPr>
          <w:rFonts w:ascii="Times New Roman" w:cs="Times New Roman" w:eastAsia="Times New Roman" w:hAnsi="Times New Roman"/>
          <w:rtl w:val="0"/>
        </w:rPr>
        <w:t xml:space="preserve">Conclusion</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tl w:val="0"/>
        </w:rPr>
        <w:t xml:space="preserve">In the present research, MCI patients show a significant increase in amyloid deposition, but no significant difference in glucose metabolism, while AD patients show a significant increase in amyloid deposition as well as a significant decrease in glucose metabolism.</w:t>
      </w:r>
      <w:r w:rsidDel="00000000" w:rsidR="00000000" w:rsidRPr="00000000">
        <w:rPr>
          <w:rFonts w:ascii="Times New Roman" w:cs="Times New Roman" w:eastAsia="Times New Roman" w:hAnsi="Times New Roman"/>
          <w:rtl w:val="0"/>
        </w:rPr>
        <w:t xml:space="preserve"> Thus, it can be suggested that amyloid plaque deposition starts years before the first symptoms of AD and is therefore the first step in the progression to AD. Decreases in glucose metabolism seem to occur later on in disease progression caused by the neuronal death linked to plaque aggregation. Therefore,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can be used to visualize the presence of amyloid plaque, while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is able to show the severity of the disease. The use of both </w:t>
      </w:r>
      <w:r w:rsidDel="00000000" w:rsidR="00000000" w:rsidRPr="00000000">
        <w:rPr>
          <w:rFonts w:ascii="Times New Roman" w:cs="Times New Roman" w:eastAsia="Times New Roman" w:hAnsi="Times New Roman"/>
          <w:vertAlign w:val="superscript"/>
          <w:rtl w:val="0"/>
        </w:rPr>
        <w:t xml:space="preserve">18</w:t>
      </w:r>
      <w:r w:rsidDel="00000000" w:rsidR="00000000" w:rsidRPr="00000000">
        <w:rPr>
          <w:rFonts w:ascii="Times New Roman" w:cs="Times New Roman" w:eastAsia="Times New Roman" w:hAnsi="Times New Roman"/>
          <w:rtl w:val="0"/>
        </w:rPr>
        <w:t xml:space="preserve">F-FDG and </w:t>
      </w:r>
      <w:r w:rsidDel="00000000" w:rsidR="00000000" w:rsidRPr="00000000">
        <w:rPr>
          <w:rFonts w:ascii="Times New Roman" w:cs="Times New Roman" w:eastAsia="Times New Roman" w:hAnsi="Times New Roman"/>
          <w:vertAlign w:val="superscript"/>
          <w:rtl w:val="0"/>
        </w:rPr>
        <w:t xml:space="preserve">11</w:t>
      </w:r>
      <w:r w:rsidDel="00000000" w:rsidR="00000000" w:rsidRPr="00000000">
        <w:rPr>
          <w:rFonts w:ascii="Times New Roman" w:cs="Times New Roman" w:eastAsia="Times New Roman" w:hAnsi="Times New Roman"/>
          <w:rtl w:val="0"/>
        </w:rPr>
        <w:t xml:space="preserve">C-PiB could be a potentially valuable technique in the prediction of progression to AD in patients with MCI, the differential diagnosis of AD, as well as tracking the progress of possible treatment options targetting amyloid plaques.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3"/>
        <w:widowControl w:val="0"/>
        <w:pBdr/>
        <w:spacing w:line="276" w:lineRule="auto"/>
        <w:contextualSpacing w:val="0"/>
        <w:jc w:val="both"/>
        <w:rPr>
          <w:rFonts w:ascii="Times New Roman" w:cs="Times New Roman" w:eastAsia="Times New Roman" w:hAnsi="Times New Roman"/>
        </w:rPr>
      </w:pPr>
      <w:bookmarkStart w:colFirst="0" w:colLast="0" w:name="_2jxsxqh" w:id="15"/>
      <w:bookmarkEnd w:id="15"/>
      <w:r w:rsidDel="00000000" w:rsidR="00000000" w:rsidRPr="00000000">
        <w:rPr>
          <w:rFonts w:ascii="Times New Roman" w:cs="Times New Roman" w:eastAsia="Times New Roman" w:hAnsi="Times New Roman"/>
          <w:rtl w:val="0"/>
        </w:rPr>
        <w:t xml:space="preserve">References</w:t>
      </w:r>
    </w:p>
    <w:p w:rsidR="00000000" w:rsidDel="00000000" w:rsidP="00000000" w:rsidRDefault="00000000" w:rsidRPr="00000000">
      <w:pPr>
        <w:keepNext w:val="0"/>
        <w:keepLines w:val="0"/>
        <w:widowControl w:val="0"/>
        <w:pBdr/>
        <w:spacing w:after="220" w:before="22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 </w:t>
        <w:tab/>
      </w:r>
      <w:hyperlink r:id="rId45">
        <w:r w:rsidDel="00000000" w:rsidR="00000000" w:rsidRPr="00000000">
          <w:rPr>
            <w:rFonts w:ascii="Times New Roman" w:cs="Times New Roman" w:eastAsia="Times New Roman" w:hAnsi="Times New Roman"/>
            <w:b w:val="0"/>
            <w:i w:val="0"/>
            <w:color w:val="000000"/>
            <w:sz w:val="22"/>
            <w:szCs w:val="22"/>
            <w:u w:val="none"/>
            <w:rtl w:val="0"/>
          </w:rPr>
          <w:t xml:space="preserve">Prince MJ. World Alzheimer Report 2015: the global impact of dementia: an analysis of prevalence, incidence, cost and trends. 2015.</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 </w:t>
        <w:tab/>
      </w:r>
      <w:hyperlink r:id="rId46">
        <w:r w:rsidDel="00000000" w:rsidR="00000000" w:rsidRPr="00000000">
          <w:rPr>
            <w:rFonts w:ascii="Times New Roman" w:cs="Times New Roman" w:eastAsia="Times New Roman" w:hAnsi="Times New Roman"/>
            <w:b w:val="0"/>
            <w:i w:val="0"/>
            <w:color w:val="000000"/>
            <w:sz w:val="22"/>
            <w:szCs w:val="22"/>
            <w:u w:val="none"/>
            <w:rtl w:val="0"/>
          </w:rPr>
          <w:t xml:space="preserve">Burns A, Iliffe S. Alzheimer’s disease. BMJ. 2009 Feb 5;338:b158.</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3. </w:t>
        <w:tab/>
      </w:r>
      <w:hyperlink r:id="rId47">
        <w:r w:rsidDel="00000000" w:rsidR="00000000" w:rsidRPr="00000000">
          <w:rPr>
            <w:rFonts w:ascii="Times New Roman" w:cs="Times New Roman" w:eastAsia="Times New Roman" w:hAnsi="Times New Roman"/>
            <w:b w:val="0"/>
            <w:i w:val="0"/>
            <w:color w:val="000000"/>
            <w:sz w:val="22"/>
            <w:szCs w:val="22"/>
            <w:u w:val="none"/>
            <w:rtl w:val="0"/>
          </w:rPr>
          <w:t xml:space="preserve">Ballard C, Gauthier S, Corbett A, Brayne C, Aarsland D, Jones E. Alzheimer’s disease. Lancet. 2011 Mar 19;377(9770):1019–31.</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4. </w:t>
        <w:tab/>
      </w:r>
      <w:hyperlink r:id="rId48">
        <w:r w:rsidDel="00000000" w:rsidR="00000000" w:rsidRPr="00000000">
          <w:rPr>
            <w:rFonts w:ascii="Times New Roman" w:cs="Times New Roman" w:eastAsia="Times New Roman" w:hAnsi="Times New Roman"/>
            <w:b w:val="0"/>
            <w:i w:val="0"/>
            <w:color w:val="000000"/>
            <w:sz w:val="22"/>
            <w:szCs w:val="22"/>
            <w:u w:val="none"/>
            <w:rtl w:val="0"/>
          </w:rPr>
          <w:t xml:space="preserve">Hardy J, Allsop D. Amyloid deposition as the central event in the aetiology of Alzheimer’s disease. Trends Pharmacol Sci. 1991 Oct;12(10):383–8.</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5. </w:t>
        <w:tab/>
      </w:r>
      <w:hyperlink r:id="rId49">
        <w:r w:rsidDel="00000000" w:rsidR="00000000" w:rsidRPr="00000000">
          <w:rPr>
            <w:rFonts w:ascii="Times New Roman" w:cs="Times New Roman" w:eastAsia="Times New Roman" w:hAnsi="Times New Roman"/>
            <w:b w:val="0"/>
            <w:i w:val="0"/>
            <w:color w:val="000000"/>
            <w:sz w:val="22"/>
            <w:szCs w:val="22"/>
            <w:u w:val="none"/>
            <w:rtl w:val="0"/>
          </w:rPr>
          <w:t xml:space="preserve">Mattsson N, Zetterberg H. Cerebrospinal Fluid Biomarkers in Alzheimer’s Disease and Frontotemporal Dementia. In: Neurodegenerative Diseases. Springer; 2014. p. 131–57.</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6. </w:t>
        <w:tab/>
      </w:r>
      <w:hyperlink r:id="rId50">
        <w:r w:rsidDel="00000000" w:rsidR="00000000" w:rsidRPr="00000000">
          <w:rPr>
            <w:rFonts w:ascii="Times New Roman" w:cs="Times New Roman" w:eastAsia="Times New Roman" w:hAnsi="Times New Roman"/>
            <w:b w:val="0"/>
            <w:i w:val="0"/>
            <w:color w:val="000000"/>
            <w:sz w:val="22"/>
            <w:szCs w:val="22"/>
            <w:u w:val="none"/>
            <w:rtl w:val="0"/>
          </w:rPr>
          <w:t xml:space="preserve">Hashimoto M, Rockenstein E, Crews L, Masliah E. Role of protein aggregation in mitochondrial dysfunction and neurodegeneration in Alzheimer’s and Parkinson's diseases. Neuromolecular Med. 2003;4(1-2):21–36.</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7. </w:t>
        <w:tab/>
      </w:r>
      <w:hyperlink r:id="rId51">
        <w:r w:rsidDel="00000000" w:rsidR="00000000" w:rsidRPr="00000000">
          <w:rPr>
            <w:rFonts w:ascii="Times New Roman" w:cs="Times New Roman" w:eastAsia="Times New Roman" w:hAnsi="Times New Roman"/>
            <w:b w:val="0"/>
            <w:i w:val="0"/>
            <w:color w:val="000000"/>
            <w:sz w:val="22"/>
            <w:szCs w:val="22"/>
            <w:u w:val="none"/>
            <w:rtl w:val="0"/>
          </w:rPr>
          <w:t xml:space="preserve">Götz J, Ittner A, Ittner LM. Tau-targeted treatment strategies in Alzheimer’s disease. Br J Pharmacol. 2012 Mar;165(5):1246–59.</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8. </w:t>
        <w:tab/>
      </w:r>
      <w:hyperlink r:id="rId52">
        <w:r w:rsidDel="00000000" w:rsidR="00000000" w:rsidRPr="00000000">
          <w:rPr>
            <w:rFonts w:ascii="Times New Roman" w:cs="Times New Roman" w:eastAsia="Times New Roman" w:hAnsi="Times New Roman"/>
            <w:b w:val="0"/>
            <w:i w:val="0"/>
            <w:color w:val="000000"/>
            <w:sz w:val="22"/>
            <w:szCs w:val="22"/>
            <w:u w:val="none"/>
            <w:rtl w:val="0"/>
          </w:rPr>
          <w:t xml:space="preserve">Jack CR, Petersen RC, Xu YC, O’Brien PC, Smith GE, Ivnik RJ, et al. Prediction of AD with MRI-based hippocampal volume in mild cognitive impairment. Neurology. 1999;52(7):1397–1397.</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9. </w:t>
        <w:tab/>
      </w:r>
      <w:hyperlink r:id="rId53">
        <w:r w:rsidDel="00000000" w:rsidR="00000000" w:rsidRPr="00000000">
          <w:rPr>
            <w:rFonts w:ascii="Times New Roman" w:cs="Times New Roman" w:eastAsia="Times New Roman" w:hAnsi="Times New Roman"/>
            <w:b w:val="0"/>
            <w:i w:val="0"/>
            <w:color w:val="000000"/>
            <w:sz w:val="22"/>
            <w:szCs w:val="22"/>
            <w:u w:val="none"/>
            <w:rtl w:val="0"/>
          </w:rPr>
          <w:t xml:space="preserve">Risacher S, Shannon R, Andrew S, John W, Li S, Hiram F, et al. Baseline MRI Predictors of Conversion from MCI to Probable AD in the ADNI Cohort. Curr Alzheimer Res. 2009;6(4):347–61.</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10. </w:t>
        <w:tab/>
      </w:r>
      <w:hyperlink r:id="rId54">
        <w:r w:rsidDel="00000000" w:rsidR="00000000" w:rsidRPr="00000000">
          <w:rPr>
            <w:rFonts w:ascii="Times New Roman" w:cs="Times New Roman" w:eastAsia="Times New Roman" w:hAnsi="Times New Roman"/>
            <w:b w:val="0"/>
            <w:i w:val="0"/>
            <w:color w:val="000000"/>
            <w:sz w:val="22"/>
            <w:szCs w:val="22"/>
            <w:u w:val="none"/>
            <w:rtl w:val="0"/>
          </w:rPr>
          <w:t xml:space="preserve">Portnow LH, Vaillancourt DE, Okun MS. The history of cerebral PET scanning: from physiology to cutting-edge technology. Neurology. 2013 Mar 5;80(10):952–6.</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11. </w:t>
        <w:tab/>
      </w:r>
      <w:hyperlink r:id="rId55">
        <w:r w:rsidDel="00000000" w:rsidR="00000000" w:rsidRPr="00000000">
          <w:rPr>
            <w:rFonts w:ascii="Times New Roman" w:cs="Times New Roman" w:eastAsia="Times New Roman" w:hAnsi="Times New Roman"/>
            <w:b w:val="0"/>
            <w:i w:val="0"/>
            <w:color w:val="000000"/>
            <w:sz w:val="22"/>
            <w:szCs w:val="22"/>
            <w:u w:val="none"/>
            <w:rtl w:val="0"/>
          </w:rPr>
          <w:t xml:space="preserve">Mueller SG, Weiner MW, Thal LJ, Petersen RC, Jack CR, Jagust W, et al. Ways toward an early diagnosis in Alzheimer’s disease: the Alzheimer's Disease Neuroimaging Initiative (ADNI). Alzheimers Dement. 2005 Jul;1(1):55–66.</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12. </w:t>
        <w:tab/>
      </w:r>
      <w:hyperlink r:id="rId56">
        <w:r w:rsidDel="00000000" w:rsidR="00000000" w:rsidRPr="00000000">
          <w:rPr>
            <w:rFonts w:ascii="Times New Roman" w:cs="Times New Roman" w:eastAsia="Times New Roman" w:hAnsi="Times New Roman"/>
            <w:b w:val="0"/>
            <w:i w:val="0"/>
            <w:color w:val="000000"/>
            <w:sz w:val="22"/>
            <w:szCs w:val="22"/>
            <w:u w:val="none"/>
            <w:rtl w:val="0"/>
          </w:rPr>
          <w:t xml:space="preserve">Geldmacher DS, Whitehouse PJ Jr. Differential diagnosis of Alzheimer’s disease. Neurology. 1997 May;48(5 Suppl 6):S2–9.</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13. </w:t>
        <w:tab/>
      </w:r>
      <w:hyperlink r:id="rId57">
        <w:r w:rsidDel="00000000" w:rsidR="00000000" w:rsidRPr="00000000">
          <w:rPr>
            <w:rFonts w:ascii="Times New Roman" w:cs="Times New Roman" w:eastAsia="Times New Roman" w:hAnsi="Times New Roman"/>
            <w:b w:val="0"/>
            <w:i w:val="0"/>
            <w:color w:val="000000"/>
            <w:sz w:val="22"/>
            <w:szCs w:val="22"/>
            <w:u w:val="none"/>
            <w:rtl w:val="0"/>
          </w:rPr>
          <w:t xml:space="preserve">Mosconi L, Berti V, Glodzik L, Pupi A, De Santi S, de Leon MJ. Pre-clinical detection of Alzheimer’s disease using FDG-PET, with or without amyloid imaging. J Alzheimers Dis. 2010;20(3):843–54.</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14. </w:t>
        <w:tab/>
      </w:r>
      <w:hyperlink r:id="rId58">
        <w:r w:rsidDel="00000000" w:rsidR="00000000" w:rsidRPr="00000000">
          <w:rPr>
            <w:rFonts w:ascii="Times New Roman" w:cs="Times New Roman" w:eastAsia="Times New Roman" w:hAnsi="Times New Roman"/>
            <w:b w:val="0"/>
            <w:i w:val="0"/>
            <w:color w:val="000000"/>
            <w:sz w:val="22"/>
            <w:szCs w:val="22"/>
            <w:u w:val="none"/>
            <w:rtl w:val="0"/>
          </w:rPr>
          <w:t xml:space="preserve">Hoyer S. Abnormalities of glucose metabolism in Alzheimer’s disease. Ann N Y Acad Sci. 1991;640:53–8.</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15. </w:t>
        <w:tab/>
      </w:r>
      <w:hyperlink r:id="rId59">
        <w:r w:rsidDel="00000000" w:rsidR="00000000" w:rsidRPr="00000000">
          <w:rPr>
            <w:rFonts w:ascii="Times New Roman" w:cs="Times New Roman" w:eastAsia="Times New Roman" w:hAnsi="Times New Roman"/>
            <w:b w:val="0"/>
            <w:i w:val="0"/>
            <w:color w:val="000000"/>
            <w:sz w:val="22"/>
            <w:szCs w:val="22"/>
            <w:u w:val="none"/>
            <w:rtl w:val="0"/>
          </w:rPr>
          <w:t xml:space="preserve">Bozzali M, Serra L. Biomarkers for Alzheimer’s Disease and Frontotemporal Lobar Degeneration: Imaging. In: Neurodegenerative Diseases. Springer; 2014. p. 159–78.</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16. </w:t>
        <w:tab/>
      </w:r>
      <w:hyperlink r:id="rId60">
        <w:r w:rsidDel="00000000" w:rsidR="00000000" w:rsidRPr="00000000">
          <w:rPr>
            <w:rFonts w:ascii="Times New Roman" w:cs="Times New Roman" w:eastAsia="Times New Roman" w:hAnsi="Times New Roman"/>
            <w:b w:val="0"/>
            <w:i w:val="0"/>
            <w:color w:val="000000"/>
            <w:sz w:val="22"/>
            <w:szCs w:val="22"/>
            <w:u w:val="none"/>
            <w:rtl w:val="0"/>
          </w:rPr>
          <w:t xml:space="preserve">Klunk WE, Engler H, Nordberg A, Wang Y, Blomqvist G, Holt DP, et al. Imaging brain amyloid in Alzheimer’s disease with Pittsburgh Compound-B. Ann Neurol. 2004 Mar;55(3):306–19.</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17. </w:t>
        <w:tab/>
      </w:r>
      <w:hyperlink r:id="rId61">
        <w:r w:rsidDel="00000000" w:rsidR="00000000" w:rsidRPr="00000000">
          <w:rPr>
            <w:rFonts w:ascii="Times New Roman" w:cs="Times New Roman" w:eastAsia="Times New Roman" w:hAnsi="Times New Roman"/>
            <w:b w:val="0"/>
            <w:i w:val="0"/>
            <w:color w:val="000000"/>
            <w:sz w:val="22"/>
            <w:szCs w:val="22"/>
            <w:u w:val="none"/>
            <w:rtl w:val="0"/>
          </w:rPr>
          <w:t xml:space="preserve">Herholz K, Ebmeier K. Clinical amyloid imaging in Alzheimer’s disease. Lancet Neurol. 2011 Jul;10(7):667–70.</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18. </w:t>
        <w:tab/>
      </w:r>
      <w:hyperlink r:id="rId62">
        <w:r w:rsidDel="00000000" w:rsidR="00000000" w:rsidRPr="00000000">
          <w:rPr>
            <w:rFonts w:ascii="Times New Roman" w:cs="Times New Roman" w:eastAsia="Times New Roman" w:hAnsi="Times New Roman"/>
            <w:b w:val="0"/>
            <w:i w:val="0"/>
            <w:color w:val="000000"/>
            <w:sz w:val="22"/>
            <w:szCs w:val="22"/>
            <w:u w:val="none"/>
            <w:rtl w:val="0"/>
          </w:rPr>
          <w:t xml:space="preserve">Kemppainen NM, Aalto S, Wilson IA, Någren K, Helin S, Brück A, et al. Voxel-based analysis of PET amyloid ligand [11C] PIB uptake in Alzheimer disease. Neurology. 2006;67(9):1575–80.</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19. </w:t>
        <w:tab/>
      </w:r>
      <w:hyperlink r:id="rId63">
        <w:r w:rsidDel="00000000" w:rsidR="00000000" w:rsidRPr="00000000">
          <w:rPr>
            <w:rFonts w:ascii="Times New Roman" w:cs="Times New Roman" w:eastAsia="Times New Roman" w:hAnsi="Times New Roman"/>
            <w:b w:val="0"/>
            <w:i w:val="0"/>
            <w:color w:val="000000"/>
            <w:sz w:val="22"/>
            <w:szCs w:val="22"/>
            <w:u w:val="none"/>
            <w:rtl w:val="0"/>
          </w:rPr>
          <w:t xml:space="preserve">Zhang S, Han D, Tan X, Feng J, Guo Y, Ding Y. Diagnostic accuracy of 18 F-FDG and 11 C-PIB-PET for prediction of short-term conversion to Alzheimer’s disease in subjects with mild cognitive impairment. Int J Clin Pract. 2012 Feb;66(2):185–98.</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20. </w:t>
        <w:tab/>
      </w:r>
      <w:hyperlink r:id="rId64">
        <w:r w:rsidDel="00000000" w:rsidR="00000000" w:rsidRPr="00000000">
          <w:rPr>
            <w:rFonts w:ascii="Times New Roman" w:cs="Times New Roman" w:eastAsia="Times New Roman" w:hAnsi="Times New Roman"/>
            <w:b w:val="0"/>
            <w:i w:val="0"/>
            <w:color w:val="000000"/>
            <w:sz w:val="22"/>
            <w:szCs w:val="22"/>
            <w:u w:val="none"/>
            <w:rtl w:val="0"/>
          </w:rPr>
          <w:t xml:space="preserve">Frey KA, Petrou M. Imaging Amyloidopathy in Parkinson Disease and Parkinsonian Dementia Syndromes. Clin Transl Imaging. 2015 Feb 1;3(1):57–64.</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21. </w:t>
        <w:tab/>
      </w:r>
      <w:hyperlink r:id="rId65">
        <w:r w:rsidDel="00000000" w:rsidR="00000000" w:rsidRPr="00000000">
          <w:rPr>
            <w:rFonts w:ascii="Times New Roman" w:cs="Times New Roman" w:eastAsia="Times New Roman" w:hAnsi="Times New Roman"/>
            <w:b w:val="0"/>
            <w:i w:val="0"/>
            <w:color w:val="000000"/>
            <w:sz w:val="22"/>
            <w:szCs w:val="22"/>
            <w:u w:val="none"/>
            <w:rtl w:val="0"/>
          </w:rPr>
          <w:t xml:space="preserve">Ritchie K, Artero S, Touchon J. Classification criteria for mild cognitive impairment: A population-based validation study. Neurology. 2001;56(1):37–42.</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22. </w:t>
        <w:tab/>
      </w:r>
      <w:hyperlink r:id="rId66">
        <w:r w:rsidDel="00000000" w:rsidR="00000000" w:rsidRPr="00000000">
          <w:rPr>
            <w:rFonts w:ascii="Times New Roman" w:cs="Times New Roman" w:eastAsia="Times New Roman" w:hAnsi="Times New Roman"/>
            <w:b w:val="0"/>
            <w:i w:val="0"/>
            <w:color w:val="000000"/>
            <w:sz w:val="22"/>
            <w:szCs w:val="22"/>
            <w:u w:val="none"/>
            <w:rtl w:val="0"/>
          </w:rPr>
          <w:t xml:space="preserve">McKhann GM, Knopman DS, Chertkow H, Hyman BT, Jack CR Jr, Kawas CH, et al. The diagnosis of dementia due to Alzheimer’s disease: recommendations from the National Institute on Aging-Alzheimer's Association workgroups on diagnostic guidelines for Alzheimer's disease. Alzheimers Dement. 2011 May;7(3):263–9.</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23. </w:t>
        <w:tab/>
      </w:r>
      <w:hyperlink r:id="rId67">
        <w:r w:rsidDel="00000000" w:rsidR="00000000" w:rsidRPr="00000000">
          <w:rPr>
            <w:rFonts w:ascii="Times New Roman" w:cs="Times New Roman" w:eastAsia="Times New Roman" w:hAnsi="Times New Roman"/>
            <w:b w:val="0"/>
            <w:i w:val="0"/>
            <w:color w:val="000000"/>
            <w:sz w:val="22"/>
            <w:szCs w:val="22"/>
            <w:u w:val="none"/>
            <w:rtl w:val="0"/>
          </w:rPr>
          <w:t xml:space="preserve">Ng S, Villemagne VL, Berlangieri S, Lee S-T, Cherk M, Gong SJ, et al. Visual assessment versus quantitative assessment of 11C-PIB PET and 18F-FDG PET for detection of Alzheimer’s disease. J Nucl Med. 2007 Apr;48(4):547–52.</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24. </w:t>
        <w:tab/>
      </w:r>
      <w:hyperlink r:id="rId68">
        <w:r w:rsidDel="00000000" w:rsidR="00000000" w:rsidRPr="00000000">
          <w:rPr>
            <w:rFonts w:ascii="Times New Roman" w:cs="Times New Roman" w:eastAsia="Times New Roman" w:hAnsi="Times New Roman"/>
            <w:b w:val="0"/>
            <w:i w:val="0"/>
            <w:color w:val="000000"/>
            <w:sz w:val="22"/>
            <w:szCs w:val="22"/>
            <w:u w:val="none"/>
            <w:rtl w:val="0"/>
          </w:rPr>
          <w:t xml:space="preserve">Ashburner J, Friston KJ. Unified segmentation. Neuroimage. 2005 Jul 1;26(3):839–51.</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25. </w:t>
        <w:tab/>
      </w:r>
      <w:hyperlink r:id="rId69">
        <w:r w:rsidDel="00000000" w:rsidR="00000000" w:rsidRPr="00000000">
          <w:rPr>
            <w:rFonts w:ascii="Times New Roman" w:cs="Times New Roman" w:eastAsia="Times New Roman" w:hAnsi="Times New Roman"/>
            <w:b w:val="0"/>
            <w:i w:val="0"/>
            <w:color w:val="000000"/>
            <w:sz w:val="22"/>
            <w:szCs w:val="22"/>
            <w:u w:val="none"/>
            <w:rtl w:val="0"/>
          </w:rPr>
          <w:t xml:space="preserve">Teune LK, Bartels AL, de Jong BM, Willemsen ATM, Eshuis SA, de Vries JJ, et al. Typical cerebral metabolic patterns in neurodegenerative brain diseases. Mov Disord. 2010 Oct 30;25(14):2395–404.</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26. </w:t>
        <w:tab/>
      </w:r>
      <w:hyperlink r:id="rId70">
        <w:r w:rsidDel="00000000" w:rsidR="00000000" w:rsidRPr="00000000">
          <w:rPr>
            <w:rFonts w:ascii="Times New Roman" w:cs="Times New Roman" w:eastAsia="Times New Roman" w:hAnsi="Times New Roman"/>
            <w:b w:val="0"/>
            <w:i w:val="0"/>
            <w:color w:val="000000"/>
            <w:sz w:val="22"/>
            <w:szCs w:val="22"/>
            <w:u w:val="none"/>
            <w:rtl w:val="0"/>
          </w:rPr>
          <w:t xml:space="preserve">Herholz K, Salmon E, Perani D, Baron JC, Holthoff V, Frölich L, et al. Discrimination between Alzheimer dementia and controls by automated analysis of multicenter FDG PET. Neuroimage. 2002 Sep;17(1):302–16.</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27. </w:t>
        <w:tab/>
      </w:r>
      <w:hyperlink r:id="rId71">
        <w:r w:rsidDel="00000000" w:rsidR="00000000" w:rsidRPr="00000000">
          <w:rPr>
            <w:rFonts w:ascii="Times New Roman" w:cs="Times New Roman" w:eastAsia="Times New Roman" w:hAnsi="Times New Roman"/>
            <w:b w:val="0"/>
            <w:i w:val="0"/>
            <w:color w:val="000000"/>
            <w:sz w:val="22"/>
            <w:szCs w:val="22"/>
            <w:u w:val="none"/>
            <w:rtl w:val="0"/>
          </w:rPr>
          <w:t xml:space="preserve">Jansen WJ, Ossenkoppele R, Knol DL, Tijms BM, Scheltens P, Verhey FRJ, et al. Prevalence of cerebral amyloid pathology in persons without dementia: a meta-analysis. JAMA. 2015 May 19;313(19):1924–38.</w:t>
        </w:r>
      </w:hyperlink>
      <w:r w:rsidDel="00000000" w:rsidR="00000000" w:rsidRPr="00000000">
        <w:rPr>
          <w:rtl w:val="0"/>
        </w:rPr>
      </w:r>
    </w:p>
    <w:p w:rsidR="00000000" w:rsidDel="00000000" w:rsidP="00000000" w:rsidRDefault="00000000" w:rsidRPr="00000000">
      <w:pPr>
        <w:keepNext w:val="0"/>
        <w:keepLines w:val="0"/>
        <w:widowControl w:val="0"/>
        <w:pBdr/>
        <w:spacing w:after="220" w:before="0" w:line="240" w:lineRule="auto"/>
        <w:ind w:left="440" w:right="0" w:hanging="440"/>
        <w:contextualSpacing w:val="0"/>
        <w:jc w:val="left"/>
        <w:rPr>
          <w:rFonts w:ascii="Times New Roman" w:cs="Times New Roman" w:eastAsia="Times New Roman" w:hAnsi="Times New Roman"/>
          <w:b w:val="0"/>
          <w:i w:val="0"/>
          <w:color w:val="000000"/>
          <w:sz w:val="22"/>
          <w:szCs w:val="22"/>
        </w:rPr>
      </w:pPr>
      <w:r w:rsidDel="00000000" w:rsidR="00000000" w:rsidRPr="00000000">
        <w:rPr>
          <w:rFonts w:ascii="Times New Roman" w:cs="Times New Roman" w:eastAsia="Times New Roman" w:hAnsi="Times New Roman"/>
          <w:b w:val="0"/>
          <w:i w:val="0"/>
          <w:color w:val="000000"/>
          <w:sz w:val="22"/>
          <w:szCs w:val="22"/>
          <w:rtl w:val="0"/>
        </w:rPr>
        <w:t xml:space="preserve">28. </w:t>
        <w:tab/>
      </w:r>
      <w:hyperlink r:id="rId72">
        <w:r w:rsidDel="00000000" w:rsidR="00000000" w:rsidRPr="00000000">
          <w:rPr>
            <w:rFonts w:ascii="Times New Roman" w:cs="Times New Roman" w:eastAsia="Times New Roman" w:hAnsi="Times New Roman"/>
            <w:b w:val="0"/>
            <w:i w:val="0"/>
            <w:color w:val="000000"/>
            <w:sz w:val="22"/>
            <w:szCs w:val="22"/>
            <w:u w:val="none"/>
            <w:rtl w:val="0"/>
          </w:rPr>
          <w:t xml:space="preserve">Ziolko SK, Weissfeld LA, Klunk WE, Mathis CA, Hoge JA, Lopresti BJ, et al. Evaluation of voxel-based methods for the statistical analysis of PIB PET amyloid imaging studies in Alzheimer’s disease. Neuroimage. 2006 Oct 15;33(1):94–102.</w:t>
        </w:r>
      </w:hyperlink>
      <w:r w:rsidDel="00000000" w:rsidR="00000000" w:rsidRPr="00000000">
        <w:rPr>
          <w:rtl w:val="0"/>
        </w:rPr>
      </w:r>
    </w:p>
    <w:p w:rsidR="00000000" w:rsidDel="00000000" w:rsidP="00000000" w:rsidRDefault="00000000" w:rsidRPr="00000000">
      <w:pPr>
        <w:pStyle w:val="Heading3"/>
        <w:widowControl w:val="0"/>
        <w:pBdr/>
        <w:spacing w:line="276" w:lineRule="auto"/>
        <w:contextualSpacing w:val="0"/>
        <w:jc w:val="both"/>
        <w:rPr>
          <w:rFonts w:ascii="Times New Roman" w:cs="Times New Roman" w:eastAsia="Times New Roman" w:hAnsi="Times New Roman"/>
        </w:rPr>
      </w:pPr>
      <w:bookmarkStart w:colFirst="0" w:colLast="0" w:name="_3j2qqm3" w:id="16"/>
      <w:bookmarkEnd w:id="16"/>
      <w:r w:rsidDel="00000000" w:rsidR="00000000" w:rsidRPr="00000000">
        <w:rPr>
          <w:rFonts w:ascii="Times New Roman" w:cs="Times New Roman" w:eastAsia="Times New Roman" w:hAnsi="Times New Roman"/>
          <w:rtl w:val="0"/>
        </w:rPr>
        <w:t xml:space="preserve">Appendix I</w:t>
      </w: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rPr>
      </w:pPr>
      <w:r w:rsidDel="00000000" w:rsidR="00000000" w:rsidRPr="00000000">
        <w:drawing>
          <wp:inline distB="114300" distT="114300" distL="114300" distR="114300">
            <wp:extent cx="3195638" cy="1840965"/>
            <wp:effectExtent b="0" l="0" r="0" t="0"/>
            <wp:docPr id="3" name="image10.png"/>
            <a:graphic>
              <a:graphicData uri="http://schemas.openxmlformats.org/drawingml/2006/picture">
                <pic:pic>
                  <pic:nvPicPr>
                    <pic:cNvPr id="0" name="image10.png"/>
                    <pic:cNvPicPr preferRelativeResize="0"/>
                  </pic:nvPicPr>
                  <pic:blipFill>
                    <a:blip r:embed="rId73"/>
                    <a:srcRect b="45161" l="29026" r="40408" t="23569"/>
                    <a:stretch>
                      <a:fillRect/>
                    </a:stretch>
                  </pic:blipFill>
                  <pic:spPr>
                    <a:xfrm>
                      <a:off x="0" y="0"/>
                      <a:ext cx="3195638" cy="184096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Figure 1</w:t>
      </w:r>
      <w:r w:rsidDel="00000000" w:rsidR="00000000" w:rsidRPr="00000000">
        <w:rPr>
          <w:rFonts w:ascii="Cardo" w:cs="Cardo" w:eastAsia="Cardo" w:hAnsi="Cardo"/>
          <w:rtl w:val="0"/>
        </w:rPr>
        <w:t xml:space="preserve">: Correlation between ꞵ-amyloid and MMSE score - </w:t>
      </w:r>
      <w:r w:rsidDel="00000000" w:rsidR="00000000" w:rsidRPr="00000000">
        <w:rPr>
          <w:rFonts w:ascii="Cardo" w:cs="Cardo" w:eastAsia="Cardo" w:hAnsi="Cardo"/>
          <w:sz w:val="20"/>
          <w:szCs w:val="20"/>
          <w:rtl w:val="0"/>
        </w:rPr>
        <w:t xml:space="preserve">The graph shows the positive correlation between ꞵ-amyloid and MMSE score. As the MMSE score increases, the ꞵ-amyloid increases as well. In AD patients, who typically have a lower MMSE score, ꞵ-amyloid is usually decreased in the CSF as it is sequestered in plaques. </w:t>
      </w:r>
    </w:p>
    <w:p w:rsidR="00000000" w:rsidDel="00000000" w:rsidP="00000000" w:rsidRDefault="00000000" w:rsidRPr="00000000">
      <w:pPr>
        <w:widowControl w:val="0"/>
        <w:pBdr/>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drawing>
          <wp:inline distB="114300" distT="114300" distL="114300" distR="114300">
            <wp:extent cx="3195638" cy="1840965"/>
            <wp:effectExtent b="0" l="0" r="0" t="0"/>
            <wp:docPr id="1" name="image7.png"/>
            <a:graphic>
              <a:graphicData uri="http://schemas.openxmlformats.org/drawingml/2006/picture">
                <pic:pic>
                  <pic:nvPicPr>
                    <pic:cNvPr id="0" name="image7.png"/>
                    <pic:cNvPicPr preferRelativeResize="0"/>
                  </pic:nvPicPr>
                  <pic:blipFill>
                    <a:blip r:embed="rId74"/>
                    <a:srcRect b="44837" l="63229" r="6205" t="23893"/>
                    <a:stretch>
                      <a:fillRect/>
                    </a:stretch>
                  </pic:blipFill>
                  <pic:spPr>
                    <a:xfrm>
                      <a:off x="0" y="0"/>
                      <a:ext cx="3195638" cy="184096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Figure 2</w:t>
      </w:r>
      <w:r w:rsidDel="00000000" w:rsidR="00000000" w:rsidRPr="00000000">
        <w:rPr>
          <w:rFonts w:ascii="Times New Roman" w:cs="Times New Roman" w:eastAsia="Times New Roman" w:hAnsi="Times New Roman"/>
          <w:rtl w:val="0"/>
        </w:rPr>
        <w:t xml:space="preserve">: Correlation between T-tau and MMSE - </w:t>
      </w:r>
      <w:r w:rsidDel="00000000" w:rsidR="00000000" w:rsidRPr="00000000">
        <w:rPr>
          <w:rFonts w:ascii="Times New Roman" w:cs="Times New Roman" w:eastAsia="Times New Roman" w:hAnsi="Times New Roman"/>
          <w:sz w:val="20"/>
          <w:szCs w:val="20"/>
          <w:rtl w:val="0"/>
        </w:rPr>
        <w:t xml:space="preserve">The graph shows the negative correlation between t-tau and MMSE score. As the MMSE score is increased, t-tau decreases. T-tau is a biomarker for the amount of tau in the CSF. In AD patients, who typically have a lower MMSE, t-tau is increased in CSF as more tau is hyperphosphorylated in AD.</w:t>
      </w:r>
    </w:p>
    <w:p w:rsidR="00000000" w:rsidDel="00000000" w:rsidP="00000000" w:rsidRDefault="00000000" w:rsidRPr="00000000">
      <w:pPr>
        <w:widowControl w:val="0"/>
        <w:pBdr/>
        <w:contextualSpacing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drawing>
          <wp:inline distB="114300" distT="114300" distL="114300" distR="114300">
            <wp:extent cx="3195638" cy="1840965"/>
            <wp:effectExtent b="0" l="0" r="0" t="0"/>
            <wp:docPr id="9" name="image16.png"/>
            <a:graphic>
              <a:graphicData uri="http://schemas.openxmlformats.org/drawingml/2006/picture">
                <pic:pic>
                  <pic:nvPicPr>
                    <pic:cNvPr id="0" name="image16.png"/>
                    <pic:cNvPicPr preferRelativeResize="0"/>
                  </pic:nvPicPr>
                  <pic:blipFill>
                    <a:blip r:embed="rId75"/>
                    <a:srcRect b="12273" l="29117" r="40317" t="56458"/>
                    <a:stretch>
                      <a:fillRect/>
                    </a:stretch>
                  </pic:blipFill>
                  <pic:spPr>
                    <a:xfrm>
                      <a:off x="0" y="0"/>
                      <a:ext cx="3195638" cy="184096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Figure 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Correlation between P-tau and T-tau</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sz w:val="20"/>
          <w:szCs w:val="20"/>
          <w:rtl w:val="0"/>
        </w:rPr>
        <w:t xml:space="preserve">The graph shows the positive correlation between p-tau and t-tau. As t-tau increases, so does p-tau. In AD patients, both p-tau and t-tau are increased due to the hyperphosphorylation of the tau protein. </w:t>
      </w:r>
    </w:p>
    <w:p w:rsidR="00000000" w:rsidDel="00000000" w:rsidP="00000000" w:rsidRDefault="00000000" w:rsidRPr="00000000">
      <w:pPr>
        <w:pStyle w:val="Heading3"/>
        <w:pBdr/>
        <w:contextualSpacing w:val="0"/>
        <w:jc w:val="both"/>
        <w:rPr>
          <w:rFonts w:ascii="Times New Roman" w:cs="Times New Roman" w:eastAsia="Times New Roman" w:hAnsi="Times New Roman"/>
        </w:rPr>
      </w:pPr>
      <w:bookmarkStart w:colFirst="0" w:colLast="0" w:name="_92id7puqq9n4" w:id="17"/>
      <w:bookmarkEnd w:id="17"/>
      <w:r w:rsidDel="00000000" w:rsidR="00000000" w:rsidRPr="00000000">
        <w:rPr>
          <w:rFonts w:ascii="Times New Roman" w:cs="Times New Roman" w:eastAsia="Times New Roman" w:hAnsi="Times New Roman"/>
          <w:rtl w:val="0"/>
        </w:rPr>
        <w:t xml:space="preserve">Appendix II</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All tables shown in Appendix II are cut off at 200 voxels and are listed in alphabetical order.</w:t>
      </w:r>
      <w:r w:rsidDel="00000000" w:rsidR="00000000" w:rsidRPr="00000000">
        <w:rPr>
          <w:rtl w:val="0"/>
        </w:rPr>
      </w:r>
    </w:p>
    <w:p w:rsidR="00000000" w:rsidDel="00000000" w:rsidP="00000000" w:rsidRDefault="00000000" w:rsidRPr="00000000">
      <w:pPr>
        <w:pStyle w:val="Heading4"/>
        <w:pBdr/>
        <w:spacing w:line="276" w:lineRule="auto"/>
        <w:contextualSpacing w:val="0"/>
        <w:jc w:val="both"/>
        <w:rPr>
          <w:rFonts w:ascii="Times New Roman" w:cs="Times New Roman" w:eastAsia="Times New Roman" w:hAnsi="Times New Roman"/>
        </w:rPr>
      </w:pPr>
      <w:bookmarkStart w:colFirst="0" w:colLast="0" w:name="_dyruyjxpjygt" w:id="18"/>
      <w:bookmarkEnd w:id="18"/>
      <w:r w:rsidDel="00000000" w:rsidR="00000000" w:rsidRPr="00000000">
        <w:rPr>
          <w:rFonts w:ascii="Times New Roman" w:cs="Times New Roman" w:eastAsia="Times New Roman" w:hAnsi="Times New Roman"/>
          <w:rtl w:val="0"/>
        </w:rPr>
        <w:t xml:space="preserve">Appendix IIA</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tbl>
      <w:tblPr>
        <w:tblStyle w:val="Table3"/>
        <w:bidiVisual w:val="0"/>
        <w:tblW w:w="70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95"/>
        <w:gridCol w:w="900"/>
        <w:gridCol w:w="900"/>
        <w:gridCol w:w="900"/>
        <w:tblGridChange w:id="0">
          <w:tblGrid>
            <w:gridCol w:w="4395"/>
            <w:gridCol w:w="900"/>
            <w:gridCol w:w="900"/>
            <w:gridCol w:w="900"/>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Region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Voxels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mean 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std of T</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posterior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615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5,01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0,89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posterior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271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4,76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Inferiolateral remainder of parietal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2317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5,59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1,45</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Inferiolateral remainder of parietal lobe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1031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4,76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0,99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Inferior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Lateral remainder of occipital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635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5,47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1,38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and inferior temporal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1505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0,84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and inferior temporal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223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1270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frontal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460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temporal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2664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temporal lobe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867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parietal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1617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parietal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557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temporal gyrus posterior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564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0,45</w:t>
            </w:r>
            <w:r w:rsidDel="00000000" w:rsidR="00000000" w:rsidRPr="00000000">
              <w:rPr>
                <w:rtl w:val="0"/>
              </w:rPr>
            </w:r>
          </w:p>
        </w:tc>
      </w:tr>
    </w:tbl>
    <w:p w:rsidR="00000000" w:rsidDel="00000000" w:rsidP="00000000" w:rsidRDefault="00000000" w:rsidRPr="00000000">
      <w:pPr>
        <w:pBd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pStyle w:val="Heading4"/>
        <w:pBdr/>
        <w:contextualSpacing w:val="0"/>
        <w:rPr>
          <w:rFonts w:ascii="Times New Roman" w:cs="Times New Roman" w:eastAsia="Times New Roman" w:hAnsi="Times New Roman"/>
        </w:rPr>
      </w:pPr>
      <w:bookmarkStart w:colFirst="0" w:colLast="0" w:name="_cajtcfrnrsuv" w:id="19"/>
      <w:bookmarkEnd w:id="19"/>
      <w:r w:rsidDel="00000000" w:rsidR="00000000" w:rsidRPr="00000000">
        <w:rPr>
          <w:rFonts w:ascii="Times New Roman" w:cs="Times New Roman" w:eastAsia="Times New Roman" w:hAnsi="Times New Roman"/>
          <w:rtl w:val="0"/>
        </w:rPr>
        <w:t xml:space="preserve">Appendix IIB</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tbl>
      <w:tblPr>
        <w:tblStyle w:val="Table4"/>
        <w:bidiVisual w:val="0"/>
        <w:tblW w:w="6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900"/>
        <w:gridCol w:w="900"/>
        <w:gridCol w:w="900"/>
        <w:tblGridChange w:id="0">
          <w:tblGrid>
            <w:gridCol w:w="4275"/>
            <w:gridCol w:w="900"/>
            <w:gridCol w:w="900"/>
            <w:gridCol w:w="900"/>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Region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Voxels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mean 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std of T</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temporal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1031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0,85</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Inferiolateral remainder of parietal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854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parietal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325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0,56</w:t>
            </w:r>
            <w:r w:rsidDel="00000000" w:rsidR="00000000" w:rsidRPr="00000000">
              <w:rPr>
                <w:rtl w:val="0"/>
              </w:rPr>
            </w:r>
          </w:p>
        </w:tc>
      </w:tr>
    </w:tbl>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contextualSpacing w:val="0"/>
        <w:rPr>
          <w:rFonts w:ascii="Times New Roman" w:cs="Times New Roman" w:eastAsia="Times New Roman" w:hAnsi="Times New Roman"/>
        </w:rPr>
      </w:pPr>
      <w:bookmarkStart w:colFirst="0" w:colLast="0" w:name="_gongjyz72t1p" w:id="20"/>
      <w:bookmarkEnd w:id="20"/>
      <w:r w:rsidDel="00000000" w:rsidR="00000000" w:rsidRPr="00000000">
        <w:rPr>
          <w:rFonts w:ascii="Times New Roman" w:cs="Times New Roman" w:eastAsia="Times New Roman" w:hAnsi="Times New Roman"/>
          <w:rtl w:val="0"/>
        </w:rPr>
        <w:t xml:space="preserve">Appendix IIC</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tbl>
      <w:tblPr>
        <w:tblStyle w:val="Table5"/>
        <w:bidiVisual w:val="0"/>
        <w:tblW w:w="7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900"/>
        <w:gridCol w:w="900"/>
        <w:gridCol w:w="900"/>
        <w:tblGridChange w:id="0">
          <w:tblGrid>
            <w:gridCol w:w="4440"/>
            <w:gridCol w:w="900"/>
            <w:gridCol w:w="900"/>
            <w:gridCol w:w="900"/>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Region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Voxels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mean 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std of T</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orbital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325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orbital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237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temporal lobe lateral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461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temporal lobe lateral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4,64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temporal lobe medial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0,26</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temporal lobe medial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376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anterior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1155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anterior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1127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posterior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1125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posterior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1098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4,93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Cuneus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378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0,36</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Fusiform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290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Fusiform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347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Inferiolateral remainder of parietal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2814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4,66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Inferiolateral remainder of parietal lobe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2600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Inferior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1548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0,56</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Inferior frontal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1393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Insula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1303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Insula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1079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Lateral orbital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245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3,97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Lateral orbital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265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0,36</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Lateral remainder of occipital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868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0,46</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Lateral remainder of occipital lobe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990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Medial orbital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528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Medial orbital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214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3,92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and inferior temporal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1817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and inferior temporal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1957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0,46</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3704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frontal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3326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Postcentral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1311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Postcentral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892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orbital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orbital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246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temporal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3411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temporal lobe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3246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Precentral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873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Precentral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324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Putamen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3,97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0,19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Putamen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3,91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Straight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Straight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328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3,88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0,19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3973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frontal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3429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parietal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2585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parietal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3176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temporal gyrus anterior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527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4,61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0,65</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temporal gyrus anterior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228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temporal gyrus posterior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1759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temporal gyrus posterior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1402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0,42</w:t>
            </w:r>
            <w:r w:rsidDel="00000000" w:rsidR="00000000" w:rsidRPr="00000000">
              <w:rPr>
                <w:rtl w:val="0"/>
              </w:rPr>
            </w:r>
          </w:p>
        </w:tc>
      </w:tr>
    </w:tbl>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contextualSpacing w:val="0"/>
        <w:rPr>
          <w:rFonts w:ascii="Times New Roman" w:cs="Times New Roman" w:eastAsia="Times New Roman" w:hAnsi="Times New Roman"/>
        </w:rPr>
      </w:pPr>
      <w:bookmarkStart w:colFirst="0" w:colLast="0" w:name="_106iwyud6shz" w:id="21"/>
      <w:bookmarkEnd w:id="21"/>
      <w:r w:rsidDel="00000000" w:rsidR="00000000" w:rsidRPr="00000000">
        <w:rPr>
          <w:rFonts w:ascii="Times New Roman" w:cs="Times New Roman" w:eastAsia="Times New Roman" w:hAnsi="Times New Roman"/>
          <w:rtl w:val="0"/>
        </w:rPr>
        <w:t xml:space="preserve">Appendix IID</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tbl>
      <w:tblPr>
        <w:tblStyle w:val="Table6"/>
        <w:bidiVisual w:val="0"/>
        <w:tblW w:w="70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95"/>
        <w:gridCol w:w="900"/>
        <w:gridCol w:w="900"/>
        <w:gridCol w:w="900"/>
        <w:tblGridChange w:id="0">
          <w:tblGrid>
            <w:gridCol w:w="4395"/>
            <w:gridCol w:w="900"/>
            <w:gridCol w:w="900"/>
            <w:gridCol w:w="900"/>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Region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Voxels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mean 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std of T</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temporal lobe lateral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0,36</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temporal lobe lateral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0,45</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anterior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873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0,46</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anterior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786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posterior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857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4,66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posterior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Cuneus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249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Inferiolateral remainder of parietal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2113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Inferiolateral remainder of parietal lobe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1530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Inferior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473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Inferior frontal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552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3,98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Insula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3,88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Lateral remainder of occipital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816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Lateral remainder of occipital lobe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Medial orbital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356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and inferior temporal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1073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and inferior temporal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1317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1965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frontal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1872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temporal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2766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4,79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0,75</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temporal lobe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2048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0,45</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Putamen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Putamen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Straight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Straight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209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1609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frontal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932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0,35</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parietal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2362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4,71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0,91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parietal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2321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temporal gyrus anterior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temporal gyrus anterior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366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temporal gyrus posterior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1575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4,62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temporal gyrus posterior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1051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0,43</w:t>
            </w:r>
            <w:r w:rsidDel="00000000" w:rsidR="00000000" w:rsidRPr="00000000">
              <w:rPr>
                <w:rtl w:val="0"/>
              </w:rPr>
            </w:r>
          </w:p>
        </w:tc>
      </w:tr>
    </w:tbl>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contextualSpacing w:val="0"/>
        <w:rPr>
          <w:rFonts w:ascii="Times New Roman" w:cs="Times New Roman" w:eastAsia="Times New Roman" w:hAnsi="Times New Roman"/>
        </w:rPr>
      </w:pPr>
      <w:bookmarkStart w:colFirst="0" w:colLast="0" w:name="_b50mepfjxvus" w:id="22"/>
      <w:bookmarkEnd w:id="22"/>
      <w:r w:rsidDel="00000000" w:rsidR="00000000" w:rsidRPr="00000000">
        <w:rPr>
          <w:rFonts w:ascii="Times New Roman" w:cs="Times New Roman" w:eastAsia="Times New Roman" w:hAnsi="Times New Roman"/>
          <w:rtl w:val="0"/>
        </w:rPr>
        <w:t xml:space="preserve">Appendix IIE</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tbl>
      <w:tblPr>
        <w:tblStyle w:val="Table7"/>
        <w:bidiVisual w:val="0"/>
        <w:tblW w:w="72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60"/>
        <w:gridCol w:w="840"/>
        <w:gridCol w:w="900"/>
        <w:gridCol w:w="900"/>
        <w:tblGridChange w:id="0">
          <w:tblGrid>
            <w:gridCol w:w="4560"/>
            <w:gridCol w:w="840"/>
            <w:gridCol w:w="900"/>
            <w:gridCol w:w="900"/>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Region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Voxels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mean 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std of T</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Brainstem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posterior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615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Inferiolateral remainder of parietal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2269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Lateral remainder of occipital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and inferior temporal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1193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706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3,86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0,37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temporal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1638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parietal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parietal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3,91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0,43</w:t>
            </w:r>
            <w:r w:rsidDel="00000000" w:rsidR="00000000" w:rsidRPr="00000000">
              <w:rPr>
                <w:rtl w:val="0"/>
              </w:rPr>
            </w:r>
          </w:p>
        </w:tc>
      </w:tr>
    </w:tbl>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contextualSpacing w:val="0"/>
        <w:rPr>
          <w:rFonts w:ascii="Times New Roman" w:cs="Times New Roman" w:eastAsia="Times New Roman" w:hAnsi="Times New Roman"/>
        </w:rPr>
      </w:pPr>
      <w:bookmarkStart w:colFirst="0" w:colLast="0" w:name="_92muf8jv89za" w:id="23"/>
      <w:bookmarkEnd w:id="23"/>
      <w:r w:rsidDel="00000000" w:rsidR="00000000" w:rsidRPr="00000000">
        <w:rPr>
          <w:rFonts w:ascii="Times New Roman" w:cs="Times New Roman" w:eastAsia="Times New Roman" w:hAnsi="Times New Roman"/>
          <w:rtl w:val="0"/>
        </w:rPr>
        <w:t xml:space="preserve">Appendix IIF</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tbl>
      <w:tblPr>
        <w:tblStyle w:val="Table8"/>
        <w:bidiVisual w:val="0"/>
        <w:tblW w:w="70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95"/>
        <w:gridCol w:w="900"/>
        <w:gridCol w:w="900"/>
        <w:gridCol w:w="900"/>
        <w:tblGridChange w:id="0">
          <w:tblGrid>
            <w:gridCol w:w="4395"/>
            <w:gridCol w:w="900"/>
            <w:gridCol w:w="900"/>
            <w:gridCol w:w="900"/>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Region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Voxels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mean 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std of T</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orbital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772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5,49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1,15</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orbital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808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5,28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temporal lobe lateral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370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0,65</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temporal lobe lateral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526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4,75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temporal lobe medial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494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Anterior temporal lobe medial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748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Cerebellum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anterior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1259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5,40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anterior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1183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5,81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0,90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posterior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1167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Cingulate gyrus posterior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5,26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Cuneus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398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Cuneus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Fusiform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332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Fusiform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475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Inferiolateral remainder of parietal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2943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Inferiolateral remainder of parietal lobe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3256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4,66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Inferior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2065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Inferior frontal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1949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4,69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0,66</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Insula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1192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Insula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1435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4,64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Lateral orbital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392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5,48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0,96</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Lateral orbital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493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5,32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0,82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Lateral remainder of occipital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1323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0,66</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Lateral remainder of occipital lobe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1208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Lingual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583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Lingual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832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Medial orbital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920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5,63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0,87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Medial orbital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866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5,14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and inferior temporal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1707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and inferior temporal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1969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3633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4,98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0,93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frontal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3881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4,95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0,94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Parahippocampal and ambient gyri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246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Postcentral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802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3,81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0,26</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Postcentral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1224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orbital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741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5,47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0,83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orbital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747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5,29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0,81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temporal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3798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Posterior temporal lobe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3907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0,57</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Precentral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941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Precentral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1091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Putamen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689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5,41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Putamen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623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4,78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Straight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571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6,09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Straight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635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5,59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3976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frontal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4078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4,94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0,92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parietal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3544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4,68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parietal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3506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4,74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temporal gyrus anterior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472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4,66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temporal gyrus anterior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387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temporal gyrus posterior part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1583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0,52</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temporal gyrus posterior part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1630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Thalamus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233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4,16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0,47</w:t>
            </w:r>
            <w:r w:rsidDel="00000000" w:rsidR="00000000" w:rsidRPr="00000000">
              <w:rPr>
                <w:rtl w:val="0"/>
              </w:rPr>
            </w:r>
          </w:p>
        </w:tc>
      </w:tr>
    </w:tbl>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contextualSpacing w:val="0"/>
        <w:rPr>
          <w:rFonts w:ascii="Times New Roman" w:cs="Times New Roman" w:eastAsia="Times New Roman" w:hAnsi="Times New Roman"/>
        </w:rPr>
      </w:pPr>
      <w:bookmarkStart w:colFirst="0" w:colLast="0" w:name="_z7ca8g4pm75" w:id="24"/>
      <w:bookmarkEnd w:id="24"/>
      <w:r w:rsidDel="00000000" w:rsidR="00000000" w:rsidRPr="00000000">
        <w:rPr>
          <w:rFonts w:ascii="Times New Roman" w:cs="Times New Roman" w:eastAsia="Times New Roman" w:hAnsi="Times New Roman"/>
          <w:rtl w:val="0"/>
        </w:rPr>
        <w:t xml:space="preserve">Appendix IIG</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tbl>
      <w:tblPr>
        <w:tblStyle w:val="Table9"/>
        <w:bidiVisual w:val="0"/>
        <w:tblW w:w="7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900"/>
        <w:gridCol w:w="900"/>
        <w:gridCol w:w="900"/>
        <w:tblGridChange w:id="0">
          <w:tblGrid>
            <w:gridCol w:w="4440"/>
            <w:gridCol w:w="900"/>
            <w:gridCol w:w="900"/>
            <w:gridCol w:w="900"/>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Region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Voxels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mean 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std of T</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Inferiolateral remainder of parietal lobe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316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5,13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0,95</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Inferiolateral remainder of parietal lobe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0,78</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Inferior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230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Inferior frontal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208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4,60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Insula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791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4,91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0,70</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Insula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527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4,57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frontal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570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0,86</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Middle frontal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513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0,75</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Postcentral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544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5,47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1,21</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Postcentral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256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4,75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0,69</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Precentral gyrus left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432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5,48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0,83</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Precentral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5,03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0,74</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Superior frontal gyrus right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442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4,86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left w:w="40.0" w:type="dxa"/>
              <w:right w:w="40.0" w:type="dxa"/>
            </w:tcMar>
            <w:vAlign w:val="bottom"/>
          </w:tcPr>
          <w:p w:rsidR="00000000" w:rsidDel="00000000" w:rsidP="00000000" w:rsidRDefault="00000000" w:rsidRPr="00000000">
            <w:pPr>
              <w:keepNext w:val="0"/>
              <w:pBdr/>
              <w:spacing w:line="276" w:lineRule="auto"/>
              <w:contextualSpacing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0,81</w:t>
            </w:r>
            <w:r w:rsidDel="00000000" w:rsidR="00000000" w:rsidRPr="00000000">
              <w:rPr>
                <w:rtl w:val="0"/>
              </w:rPr>
            </w:r>
          </w:p>
        </w:tc>
      </w:tr>
    </w:tbl>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sectPr>
      <w:pgSz w:h="16838" w:w="11906"/>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1"/>
        <w:keepLines w:val="0"/>
        <w:widowControl w:val="0"/>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spacing w:after="120" w:before="400" w:line="240"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widowControl w:val="0"/>
      <w:pBdr/>
      <w:spacing w:after="120" w:before="360" w:line="240"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widowControl w:val="0"/>
      <w:pBdr/>
      <w:spacing w:after="80" w:before="320" w:line="240"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widowControl w:val="0"/>
      <w:pBdr/>
      <w:spacing w:after="80" w:before="280" w:line="240"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widowControl w:val="0"/>
      <w:pBdr/>
      <w:spacing w:after="80" w:before="240" w:line="240"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widowControl w:val="0"/>
      <w:pBdr/>
      <w:spacing w:after="80" w:before="240" w:line="240"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widowControl w:val="0"/>
      <w:pBdr/>
      <w:spacing w:after="60" w:before="0" w:line="240"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widowControl w:val="0"/>
      <w:pBdr/>
      <w:spacing w:after="320" w:before="0" w:line="240" w:lineRule="auto"/>
      <w:ind w:left="0" w:right="0" w:firstLine="0"/>
      <w:jc w:val="left"/>
    </w:pPr>
    <w:rPr>
      <w:rFonts w:ascii="Arial" w:cs="Arial" w:eastAsia="Arial" w:hAnsi="Arial"/>
      <w:b w:val="0"/>
      <w:i w:val="0"/>
      <w:smallCaps w:val="0"/>
      <w:strike w:val="0"/>
      <w:color w:val="666666"/>
      <w:sz w:val="30"/>
      <w:szCs w:val="30"/>
      <w:u w:val="none"/>
      <w:vertAlign w:val="baseline"/>
    </w:rPr>
  </w:style>
  <w:style w:type="table" w:styleId="Table1">
    <w:basedOn w:val="TableNormal"/>
    <w:pPr>
      <w:pBdr/>
      <w:contextualSpacing w:val="1"/>
    </w:pPr>
    <w:rPr/>
    <w:tblPr>
      <w:tblStyleRowBandSize w:val="1"/>
      <w:tblStyleColBandSize w:val="1"/>
      <w:tblCellMar/>
    </w:tblPr>
    <w:tblStylePr w:type="band1Horz">
      <w:pPr>
        <w:pBdr/>
        <w:contextualSpacing w:val="1"/>
      </w:pPr>
      <w:rPr/>
      <w:tcPr/>
    </w:tblStylePr>
    <w:tblStylePr w:type="band1Vert">
      <w:pPr>
        <w:pBdr/>
        <w:contextualSpacing w:val="1"/>
      </w:pPr>
      <w:rPr/>
      <w:tcPr/>
    </w:tblStylePr>
    <w:tblStylePr w:type="band2Horz">
      <w:pPr>
        <w:pBdr/>
        <w:contextualSpacing w:val="1"/>
      </w:pPr>
      <w:rPr/>
      <w:tcPr/>
    </w:tblStylePr>
    <w:tblStylePr w:type="band2Vert">
      <w:pPr>
        <w:pBdr/>
        <w:contextualSpacing w:val="1"/>
      </w:pPr>
      <w:rPr/>
      <w:tcPr/>
    </w:tblStylePr>
    <w:tblStylePr w:type="firstCol">
      <w:pPr>
        <w:pBdr/>
        <w:contextualSpacing w:val="1"/>
      </w:pPr>
      <w:rPr/>
      <w:tcPr/>
    </w:tblStylePr>
    <w:tblStylePr w:type="firstRow">
      <w:pPr>
        <w:pBdr/>
        <w:contextualSpacing w:val="1"/>
      </w:pPr>
      <w:rPr/>
      <w:tcPr/>
    </w:tblStylePr>
    <w:tblStylePr w:type="lastCol">
      <w:pPr>
        <w:pBdr/>
        <w:contextualSpacing w:val="1"/>
      </w:pPr>
      <w:rPr/>
      <w:tcPr/>
    </w:tblStylePr>
    <w:tblStylePr w:type="lastRow">
      <w:pPr>
        <w:pBdr/>
        <w:contextualSpacing w:val="1"/>
      </w:pPr>
      <w:rPr/>
      <w:tcPr/>
    </w:tblStylePr>
    <w:tblStylePr w:type="neCell">
      <w:pPr>
        <w:pBdr/>
        <w:contextualSpacing w:val="1"/>
      </w:pPr>
      <w:rPr/>
      <w:tcPr/>
    </w:tblStylePr>
    <w:tblStylePr w:type="nwCell">
      <w:pPr>
        <w:pBdr/>
        <w:contextualSpacing w:val="1"/>
      </w:pPr>
      <w:rPr/>
      <w:tcPr/>
    </w:tblStylePr>
    <w:tblStylePr w:type="seCell">
      <w:pPr>
        <w:pBdr/>
        <w:contextualSpacing w:val="1"/>
      </w:pPr>
      <w:rPr/>
      <w:tcPr/>
    </w:tblStylePr>
    <w:tblStylePr w:type="swCell">
      <w:pPr>
        <w:pBdr/>
        <w:contextualSpacing w:val="1"/>
      </w:pPr>
      <w:rPr/>
      <w:tcPr/>
    </w:tblStylePr>
  </w:style>
  <w:style w:type="table" w:styleId="Table2">
    <w:basedOn w:val="TableNormal"/>
    <w:tblPr>
      <w:tblStyleRowBandSize w:val="1"/>
      <w:tblStyleColBandSize w:val="1"/>
      <w:tblCellMar>
        <w:top w:w="0.0" w:type="dxa"/>
        <w:left w:w="32.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s://paperpile.com/c/m0H2b2/V3ndd" TargetMode="External"/><Relationship Id="rId42" Type="http://schemas.openxmlformats.org/officeDocument/2006/relationships/hyperlink" Target="https://paperpile.com/c/m0H2b2/LohTD" TargetMode="External"/><Relationship Id="rId41" Type="http://schemas.openxmlformats.org/officeDocument/2006/relationships/hyperlink" Target="https://paperpile.com/c/m0H2b2/c2avG" TargetMode="External"/><Relationship Id="rId44" Type="http://schemas.openxmlformats.org/officeDocument/2006/relationships/hyperlink" Target="https://paperpile.com/c/m0H2b2/TJ3iT" TargetMode="External"/><Relationship Id="rId43" Type="http://schemas.openxmlformats.org/officeDocument/2006/relationships/hyperlink" Target="https://paperpile.com/c/m0H2b2/wboEk" TargetMode="External"/><Relationship Id="rId46" Type="http://schemas.openxmlformats.org/officeDocument/2006/relationships/hyperlink" Target="http://paperpile.com/b/m0H2b2/urnAK" TargetMode="External"/><Relationship Id="rId45" Type="http://schemas.openxmlformats.org/officeDocument/2006/relationships/hyperlink" Target="http://paperpile.com/b/m0H2b2/f7Fu"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paperpile.com/c/m0H2b2/b7Oxi" TargetMode="External"/><Relationship Id="rId48" Type="http://schemas.openxmlformats.org/officeDocument/2006/relationships/hyperlink" Target="http://paperpile.com/b/m0H2b2/nY1fH" TargetMode="External"/><Relationship Id="rId47" Type="http://schemas.openxmlformats.org/officeDocument/2006/relationships/hyperlink" Target="http://paperpile.com/b/m0H2b2/b7Oxi" TargetMode="External"/><Relationship Id="rId49" Type="http://schemas.openxmlformats.org/officeDocument/2006/relationships/hyperlink" Target="http://paperpile.com/b/m0H2b2/qMYe" TargetMode="External"/><Relationship Id="rId5" Type="http://schemas.openxmlformats.org/officeDocument/2006/relationships/hyperlink" Target="mailto:t.van.elk@student.rug.nl" TargetMode="External"/><Relationship Id="rId6" Type="http://schemas.openxmlformats.org/officeDocument/2006/relationships/hyperlink" Target="https://paperpile.com/c/m0H2b2/f7Fu" TargetMode="External"/><Relationship Id="rId7" Type="http://schemas.openxmlformats.org/officeDocument/2006/relationships/hyperlink" Target="https://paperpile.com/c/m0H2b2/f7Fu" TargetMode="External"/><Relationship Id="rId8" Type="http://schemas.openxmlformats.org/officeDocument/2006/relationships/hyperlink" Target="https://paperpile.com/c/m0H2b2/urnAK" TargetMode="External"/><Relationship Id="rId73" Type="http://schemas.openxmlformats.org/officeDocument/2006/relationships/image" Target="media/image10.png"/><Relationship Id="rId72" Type="http://schemas.openxmlformats.org/officeDocument/2006/relationships/hyperlink" Target="http://paperpile.com/b/m0H2b2/wboEk" TargetMode="External"/><Relationship Id="rId31" Type="http://schemas.openxmlformats.org/officeDocument/2006/relationships/hyperlink" Target="https://paperpile.com/c/m0H2b2/nd72" TargetMode="External"/><Relationship Id="rId75" Type="http://schemas.openxmlformats.org/officeDocument/2006/relationships/image" Target="media/image16.png"/><Relationship Id="rId30" Type="http://schemas.openxmlformats.org/officeDocument/2006/relationships/hyperlink" Target="https://paperpile.com/c/m0H2b2/4UJ9K" TargetMode="External"/><Relationship Id="rId74" Type="http://schemas.openxmlformats.org/officeDocument/2006/relationships/image" Target="media/image7.png"/><Relationship Id="rId33" Type="http://schemas.openxmlformats.org/officeDocument/2006/relationships/hyperlink" Target="https://paperpile.com/c/m0H2b2/nd72" TargetMode="External"/><Relationship Id="rId32" Type="http://schemas.openxmlformats.org/officeDocument/2006/relationships/image" Target="media/image8.png"/><Relationship Id="rId35" Type="http://schemas.openxmlformats.org/officeDocument/2006/relationships/image" Target="media/image11.png"/><Relationship Id="rId34" Type="http://schemas.openxmlformats.org/officeDocument/2006/relationships/hyperlink" Target="https://paperpile.com/c/m0H2b2/FszF" TargetMode="External"/><Relationship Id="rId71" Type="http://schemas.openxmlformats.org/officeDocument/2006/relationships/hyperlink" Target="http://paperpile.com/b/m0H2b2/LohTD" TargetMode="External"/><Relationship Id="rId70" Type="http://schemas.openxmlformats.org/officeDocument/2006/relationships/hyperlink" Target="http://paperpile.com/b/m0H2b2/c2avG" TargetMode="External"/><Relationship Id="rId37" Type="http://schemas.openxmlformats.org/officeDocument/2006/relationships/image" Target="media/image12.png"/><Relationship Id="rId36" Type="http://schemas.openxmlformats.org/officeDocument/2006/relationships/image" Target="media/image13.png"/><Relationship Id="rId39" Type="http://schemas.openxmlformats.org/officeDocument/2006/relationships/image" Target="media/image14.png"/><Relationship Id="rId38" Type="http://schemas.openxmlformats.org/officeDocument/2006/relationships/image" Target="media/image15.png"/><Relationship Id="rId62" Type="http://schemas.openxmlformats.org/officeDocument/2006/relationships/hyperlink" Target="http://paperpile.com/b/m0H2b2/TJ3iT" TargetMode="External"/><Relationship Id="rId61" Type="http://schemas.openxmlformats.org/officeDocument/2006/relationships/hyperlink" Target="http://paperpile.com/b/m0H2b2/HGvD6" TargetMode="External"/><Relationship Id="rId20" Type="http://schemas.openxmlformats.org/officeDocument/2006/relationships/hyperlink" Target="https://paperpile.com/c/m0H2b2/W8DGc" TargetMode="External"/><Relationship Id="rId64" Type="http://schemas.openxmlformats.org/officeDocument/2006/relationships/hyperlink" Target="http://paperpile.com/b/m0H2b2/FIPv" TargetMode="External"/><Relationship Id="rId63" Type="http://schemas.openxmlformats.org/officeDocument/2006/relationships/hyperlink" Target="http://paperpile.com/b/m0H2b2/5T7N" TargetMode="External"/><Relationship Id="rId22" Type="http://schemas.openxmlformats.org/officeDocument/2006/relationships/hyperlink" Target="https://paperpile.com/c/m0H2b2/NB87g" TargetMode="External"/><Relationship Id="rId66" Type="http://schemas.openxmlformats.org/officeDocument/2006/relationships/hyperlink" Target="http://paperpile.com/b/m0H2b2/4UJ9K" TargetMode="External"/><Relationship Id="rId21" Type="http://schemas.openxmlformats.org/officeDocument/2006/relationships/hyperlink" Target="https://paperpile.com/c/m0H2b2/byn4F" TargetMode="External"/><Relationship Id="rId65" Type="http://schemas.openxmlformats.org/officeDocument/2006/relationships/hyperlink" Target="http://paperpile.com/b/m0H2b2/pRn1U" TargetMode="External"/><Relationship Id="rId24" Type="http://schemas.openxmlformats.org/officeDocument/2006/relationships/hyperlink" Target="https://paperpile.com/c/m0H2b2/Jt4Bw" TargetMode="External"/><Relationship Id="rId68" Type="http://schemas.openxmlformats.org/officeDocument/2006/relationships/hyperlink" Target="http://paperpile.com/b/m0H2b2/FszF" TargetMode="External"/><Relationship Id="rId23" Type="http://schemas.openxmlformats.org/officeDocument/2006/relationships/hyperlink" Target="https://paperpile.com/c/m0H2b2/h09a" TargetMode="External"/><Relationship Id="rId67" Type="http://schemas.openxmlformats.org/officeDocument/2006/relationships/hyperlink" Target="http://paperpile.com/b/m0H2b2/nd72" TargetMode="External"/><Relationship Id="rId60" Type="http://schemas.openxmlformats.org/officeDocument/2006/relationships/hyperlink" Target="http://paperpile.com/b/m0H2b2/Jt4Bw" TargetMode="External"/><Relationship Id="rId26" Type="http://schemas.openxmlformats.org/officeDocument/2006/relationships/hyperlink" Target="https://paperpile.com/c/m0H2b2/TJ3iT" TargetMode="External"/><Relationship Id="rId25" Type="http://schemas.openxmlformats.org/officeDocument/2006/relationships/hyperlink" Target="https://paperpile.com/c/m0H2b2/HGvD6" TargetMode="External"/><Relationship Id="rId69" Type="http://schemas.openxmlformats.org/officeDocument/2006/relationships/hyperlink" Target="http://paperpile.com/b/m0H2b2/V3ndd" TargetMode="External"/><Relationship Id="rId28" Type="http://schemas.openxmlformats.org/officeDocument/2006/relationships/hyperlink" Target="https://paperpile.com/c/m0H2b2/FIPv" TargetMode="External"/><Relationship Id="rId27" Type="http://schemas.openxmlformats.org/officeDocument/2006/relationships/hyperlink" Target="https://paperpile.com/c/m0H2b2/5T7N" TargetMode="External"/><Relationship Id="rId29" Type="http://schemas.openxmlformats.org/officeDocument/2006/relationships/hyperlink" Target="https://paperpile.com/c/m0H2b2/pRn1U" TargetMode="External"/><Relationship Id="rId51" Type="http://schemas.openxmlformats.org/officeDocument/2006/relationships/hyperlink" Target="http://paperpile.com/b/m0H2b2/3g1Ea" TargetMode="External"/><Relationship Id="rId50" Type="http://schemas.openxmlformats.org/officeDocument/2006/relationships/hyperlink" Target="http://paperpile.com/b/m0H2b2/KpCmj" TargetMode="External"/><Relationship Id="rId53" Type="http://schemas.openxmlformats.org/officeDocument/2006/relationships/hyperlink" Target="http://paperpile.com/b/m0H2b2/SdtAR" TargetMode="External"/><Relationship Id="rId52" Type="http://schemas.openxmlformats.org/officeDocument/2006/relationships/hyperlink" Target="http://paperpile.com/b/m0H2b2/EEAco" TargetMode="External"/><Relationship Id="rId11" Type="http://schemas.openxmlformats.org/officeDocument/2006/relationships/hyperlink" Target="https://paperpile.com/c/m0H2b2/qMYe" TargetMode="External"/><Relationship Id="rId55" Type="http://schemas.openxmlformats.org/officeDocument/2006/relationships/hyperlink" Target="http://paperpile.com/b/m0H2b2/bAAj" TargetMode="External"/><Relationship Id="rId10" Type="http://schemas.openxmlformats.org/officeDocument/2006/relationships/hyperlink" Target="https://paperpile.com/c/m0H2b2/nY1fH" TargetMode="External"/><Relationship Id="rId54" Type="http://schemas.openxmlformats.org/officeDocument/2006/relationships/hyperlink" Target="http://paperpile.com/b/m0H2b2/W8DGc" TargetMode="External"/><Relationship Id="rId13" Type="http://schemas.openxmlformats.org/officeDocument/2006/relationships/hyperlink" Target="https://paperpile.com/c/m0H2b2/3g1Ea" TargetMode="External"/><Relationship Id="rId57" Type="http://schemas.openxmlformats.org/officeDocument/2006/relationships/hyperlink" Target="http://paperpile.com/b/m0H2b2/byn4F" TargetMode="External"/><Relationship Id="rId12" Type="http://schemas.openxmlformats.org/officeDocument/2006/relationships/hyperlink" Target="https://paperpile.com/c/m0H2b2/KpCmj" TargetMode="External"/><Relationship Id="rId56" Type="http://schemas.openxmlformats.org/officeDocument/2006/relationships/hyperlink" Target="http://paperpile.com/b/m0H2b2/yZSHu" TargetMode="External"/><Relationship Id="rId15" Type="http://schemas.openxmlformats.org/officeDocument/2006/relationships/hyperlink" Target="https://paperpile.com/c/m0H2b2/EEAco" TargetMode="External"/><Relationship Id="rId59" Type="http://schemas.openxmlformats.org/officeDocument/2006/relationships/hyperlink" Target="http://paperpile.com/b/m0H2b2/h09a" TargetMode="External"/><Relationship Id="rId14" Type="http://schemas.openxmlformats.org/officeDocument/2006/relationships/hyperlink" Target="https://paperpile.com/c/m0H2b2/qMYe" TargetMode="External"/><Relationship Id="rId58" Type="http://schemas.openxmlformats.org/officeDocument/2006/relationships/hyperlink" Target="http://paperpile.com/b/m0H2b2/NB87g" TargetMode="External"/><Relationship Id="rId17" Type="http://schemas.openxmlformats.org/officeDocument/2006/relationships/hyperlink" Target="https://paperpile.com/c/m0H2b2/W8DGc" TargetMode="External"/><Relationship Id="rId16" Type="http://schemas.openxmlformats.org/officeDocument/2006/relationships/hyperlink" Target="https://paperpile.com/c/m0H2b2/SdtAR" TargetMode="External"/><Relationship Id="rId19" Type="http://schemas.openxmlformats.org/officeDocument/2006/relationships/hyperlink" Target="https://paperpile.com/c/m0H2b2/yZSHu" TargetMode="External"/><Relationship Id="rId18" Type="http://schemas.openxmlformats.org/officeDocument/2006/relationships/hyperlink" Target="https://paperpile.com/c/m0H2b2/bAAj"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